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EF049" w14:textId="13C1040F" w:rsidR="00A64B6D" w:rsidRPr="001917AD" w:rsidRDefault="00A64B6D" w:rsidP="00A64B6D">
      <w:pPr>
        <w:spacing w:after="0"/>
        <w:jc w:val="right"/>
        <w:rPr>
          <w:rFonts w:ascii="Times New Roman" w:hAnsi="Times New Roman" w:cs="Times New Roman"/>
          <w:b/>
          <w:bCs/>
          <w:sz w:val="20"/>
          <w:szCs w:val="20"/>
        </w:rPr>
      </w:pPr>
      <w:r w:rsidRPr="001917AD">
        <w:rPr>
          <w:rFonts w:ascii="Times New Roman" w:hAnsi="Times New Roman" w:cs="Times New Roman"/>
          <w:b/>
          <w:bCs/>
          <w:sz w:val="20"/>
          <w:szCs w:val="20"/>
        </w:rPr>
        <w:t xml:space="preserve">Załącznik nr </w:t>
      </w:r>
      <w:r w:rsidR="00441FE8" w:rsidRPr="001917AD">
        <w:rPr>
          <w:rFonts w:ascii="Times New Roman" w:hAnsi="Times New Roman" w:cs="Times New Roman"/>
          <w:b/>
          <w:bCs/>
          <w:sz w:val="20"/>
          <w:szCs w:val="20"/>
        </w:rPr>
        <w:t>4</w:t>
      </w:r>
      <w:r w:rsidRPr="001917AD">
        <w:rPr>
          <w:rFonts w:ascii="Times New Roman" w:hAnsi="Times New Roman" w:cs="Times New Roman"/>
          <w:b/>
          <w:bCs/>
          <w:sz w:val="20"/>
          <w:szCs w:val="20"/>
        </w:rPr>
        <w:t xml:space="preserve"> do zapytania ofertowego nr </w:t>
      </w:r>
      <w:r w:rsidR="001917AD" w:rsidRPr="001917AD">
        <w:rPr>
          <w:rFonts w:ascii="Times New Roman" w:hAnsi="Times New Roman" w:cs="Times New Roman"/>
          <w:b/>
          <w:bCs/>
          <w:sz w:val="20"/>
          <w:szCs w:val="20"/>
        </w:rPr>
        <w:t>GKI. 2512.</w:t>
      </w:r>
      <w:r w:rsidR="00631A49">
        <w:rPr>
          <w:rFonts w:ascii="Times New Roman" w:hAnsi="Times New Roman" w:cs="Times New Roman"/>
          <w:b/>
          <w:bCs/>
          <w:sz w:val="20"/>
          <w:szCs w:val="20"/>
        </w:rPr>
        <w:t>12</w:t>
      </w:r>
      <w:r w:rsidRPr="001917AD">
        <w:rPr>
          <w:rFonts w:ascii="Times New Roman" w:hAnsi="Times New Roman" w:cs="Times New Roman"/>
          <w:b/>
          <w:bCs/>
          <w:sz w:val="20"/>
          <w:szCs w:val="20"/>
        </w:rPr>
        <w:t>.2025</w:t>
      </w:r>
    </w:p>
    <w:p w14:paraId="7F7DC1FC" w14:textId="77777777" w:rsidR="00A64B6D" w:rsidRPr="001917AD" w:rsidRDefault="00A64B6D" w:rsidP="00A64B6D">
      <w:pPr>
        <w:spacing w:after="0"/>
        <w:jc w:val="both"/>
        <w:rPr>
          <w:rFonts w:ascii="Times New Roman" w:hAnsi="Times New Roman" w:cs="Times New Roman"/>
          <w:sz w:val="24"/>
          <w:szCs w:val="24"/>
        </w:rPr>
      </w:pPr>
    </w:p>
    <w:p w14:paraId="327CF8BB" w14:textId="1154DBB7" w:rsidR="00A64B6D" w:rsidRPr="00513D4C" w:rsidRDefault="00A64B6D" w:rsidP="00A64B6D">
      <w:pPr>
        <w:spacing w:after="0"/>
        <w:jc w:val="both"/>
        <w:rPr>
          <w:rFonts w:ascii="Times New Roman" w:hAnsi="Times New Roman" w:cs="Times New Roman"/>
          <w:sz w:val="24"/>
          <w:szCs w:val="24"/>
        </w:rPr>
      </w:pPr>
      <w:r w:rsidRPr="00513D4C">
        <w:rPr>
          <w:rFonts w:ascii="Times New Roman" w:hAnsi="Times New Roman" w:cs="Times New Roman"/>
          <w:sz w:val="24"/>
          <w:szCs w:val="24"/>
        </w:rPr>
        <w:t>………………………………………</w:t>
      </w:r>
    </w:p>
    <w:p w14:paraId="7F5EE5F0" w14:textId="77777777" w:rsidR="00A64B6D" w:rsidRDefault="00A64B6D" w:rsidP="00A64B6D">
      <w:pPr>
        <w:rPr>
          <w:rFonts w:ascii="Times New Roman" w:hAnsi="Times New Roman" w:cs="Times New Roman"/>
          <w:sz w:val="24"/>
          <w:szCs w:val="24"/>
        </w:rPr>
      </w:pPr>
      <w:r w:rsidRPr="00513D4C">
        <w:rPr>
          <w:rFonts w:ascii="Times New Roman" w:hAnsi="Times New Roman" w:cs="Times New Roman"/>
          <w:sz w:val="24"/>
          <w:szCs w:val="24"/>
        </w:rPr>
        <w:t xml:space="preserve">          </w:t>
      </w:r>
      <w:r w:rsidRPr="00513D4C">
        <w:rPr>
          <w:rFonts w:ascii="Times New Roman" w:hAnsi="Times New Roman" w:cs="Times New Roman"/>
          <w:sz w:val="18"/>
          <w:szCs w:val="24"/>
        </w:rPr>
        <w:t>/pieczęć Wykonawcy/</w:t>
      </w:r>
      <w:r w:rsidRPr="00513D4C">
        <w:rPr>
          <w:rFonts w:ascii="Times New Roman" w:hAnsi="Times New Roman" w:cs="Times New Roman"/>
          <w:sz w:val="24"/>
          <w:szCs w:val="24"/>
        </w:rPr>
        <w:tab/>
      </w:r>
      <w:r w:rsidRPr="00513D4C">
        <w:rPr>
          <w:rFonts w:ascii="Times New Roman" w:hAnsi="Times New Roman" w:cs="Times New Roman"/>
          <w:sz w:val="24"/>
          <w:szCs w:val="24"/>
        </w:rPr>
        <w:tab/>
      </w:r>
    </w:p>
    <w:p w14:paraId="76A81761" w14:textId="77777777" w:rsidR="00A64B6D" w:rsidRPr="00DC0EA9" w:rsidRDefault="00A64B6D" w:rsidP="00A64B6D">
      <w:pPr>
        <w:rPr>
          <w:rFonts w:ascii="Times New Roman" w:hAnsi="Times New Roman" w:cs="Times New Roman"/>
          <w:sz w:val="32"/>
          <w:szCs w:val="32"/>
        </w:rPr>
      </w:pPr>
    </w:p>
    <w:p w14:paraId="2995D35C" w14:textId="77777777" w:rsidR="00A64B6D" w:rsidRPr="00DC0EA9" w:rsidRDefault="00A64B6D" w:rsidP="00A64B6D">
      <w:pPr>
        <w:spacing w:before="120" w:after="120"/>
        <w:jc w:val="center"/>
        <w:rPr>
          <w:rFonts w:ascii="Times New Roman" w:hAnsi="Times New Roman" w:cs="Times New Roman"/>
          <w:b/>
          <w:sz w:val="24"/>
          <w:szCs w:val="24"/>
        </w:rPr>
      </w:pPr>
      <w:bookmarkStart w:id="0" w:name="_Hlk196909021"/>
      <w:r w:rsidRPr="00DC0EA9">
        <w:rPr>
          <w:rFonts w:ascii="Times New Roman" w:hAnsi="Times New Roman" w:cs="Times New Roman"/>
          <w:b/>
          <w:sz w:val="24"/>
          <w:szCs w:val="24"/>
        </w:rPr>
        <w:t>OŚWIADCZENIE</w:t>
      </w:r>
    </w:p>
    <w:p w14:paraId="73DA3248" w14:textId="77777777" w:rsidR="00A64B6D" w:rsidRDefault="00A64B6D" w:rsidP="00A64B6D">
      <w:pPr>
        <w:jc w:val="center"/>
        <w:rPr>
          <w:rFonts w:ascii="Times New Roman" w:hAnsi="Times New Roman" w:cs="Times New Roman"/>
          <w:b/>
          <w:sz w:val="24"/>
          <w:szCs w:val="24"/>
        </w:rPr>
      </w:pPr>
      <w:r w:rsidRPr="00DC0EA9">
        <w:rPr>
          <w:rFonts w:ascii="Times New Roman" w:hAnsi="Times New Roman" w:cs="Times New Roman"/>
          <w:b/>
          <w:sz w:val="24"/>
          <w:szCs w:val="24"/>
        </w:rPr>
        <w:t xml:space="preserve">o niepodleganiu wykluczeniu w zakresie art. 7 ust. 1 ustawy o szczególnych rozwiązaniach w zakresie przeciwdziałania wspieraniu agresji na Ukrainę </w:t>
      </w:r>
      <w:r>
        <w:rPr>
          <w:rFonts w:ascii="Times New Roman" w:hAnsi="Times New Roman" w:cs="Times New Roman"/>
          <w:b/>
          <w:sz w:val="24"/>
          <w:szCs w:val="24"/>
        </w:rPr>
        <w:br/>
      </w:r>
      <w:r w:rsidRPr="00DC0EA9">
        <w:rPr>
          <w:rFonts w:ascii="Times New Roman" w:hAnsi="Times New Roman" w:cs="Times New Roman"/>
          <w:b/>
          <w:sz w:val="24"/>
          <w:szCs w:val="24"/>
        </w:rPr>
        <w:t>oraz służących ochronie bezpieczeństwa narodowego</w:t>
      </w:r>
    </w:p>
    <w:bookmarkEnd w:id="0"/>
    <w:p w14:paraId="14C7E766" w14:textId="77777777" w:rsidR="00A64B6D" w:rsidRDefault="00A64B6D" w:rsidP="00A64B6D">
      <w:pPr>
        <w:rPr>
          <w:rFonts w:ascii="Times New Roman" w:hAnsi="Times New Roman" w:cs="Times New Roman"/>
          <w:bCs/>
          <w:sz w:val="32"/>
          <w:szCs w:val="32"/>
        </w:rPr>
      </w:pPr>
    </w:p>
    <w:p w14:paraId="5404F59E" w14:textId="77777777" w:rsidR="00A64B6D" w:rsidRPr="00DC0EA9" w:rsidRDefault="00A64B6D" w:rsidP="00A64B6D">
      <w:pPr>
        <w:spacing w:before="120" w:after="120"/>
        <w:ind w:firstLine="567"/>
        <w:jc w:val="both"/>
        <w:rPr>
          <w:rFonts w:ascii="Times New Roman" w:hAnsi="Times New Roman" w:cs="Times New Roman"/>
          <w:sz w:val="24"/>
          <w:szCs w:val="24"/>
        </w:rPr>
      </w:pPr>
      <w:r w:rsidRPr="00DC0EA9">
        <w:rPr>
          <w:rFonts w:ascii="Times New Roman" w:hAnsi="Times New Roman" w:cs="Times New Roman"/>
          <w:sz w:val="24"/>
          <w:szCs w:val="24"/>
        </w:rPr>
        <w:t xml:space="preserve">W związku z art. 7 </w:t>
      </w:r>
      <w:r w:rsidRPr="00DC0EA9">
        <w:rPr>
          <w:rFonts w:ascii="Times New Roman" w:hAnsi="Times New Roman" w:cs="Times New Roman"/>
          <w:sz w:val="24"/>
          <w:szCs w:val="24"/>
          <w:lang w:eastAsia="x-none"/>
        </w:rPr>
        <w:t>ust</w:t>
      </w:r>
      <w:r w:rsidRPr="00DC0EA9">
        <w:rPr>
          <w:rFonts w:ascii="Times New Roman" w:hAnsi="Times New Roman" w:cs="Times New Roman"/>
          <w:sz w:val="24"/>
          <w:szCs w:val="24"/>
        </w:rPr>
        <w:t xml:space="preserve">. 1 ustawy z dnia 13 kwietnia 2022 r.  o szczególnych rozwiązaniach w zakresie przeciwdziałania wspieraniu agresji na Ukrainę oraz służących ochronie bezpieczeństwa narodowego </w:t>
      </w:r>
      <w:r>
        <w:rPr>
          <w:rFonts w:ascii="Times New Roman" w:hAnsi="Times New Roman" w:cs="Times New Roman"/>
          <w:sz w:val="24"/>
          <w:szCs w:val="24"/>
        </w:rPr>
        <w:t xml:space="preserve">(Dz. U. z 2025 r., poz. 514 z późn. zm.), </w:t>
      </w:r>
      <w:r w:rsidRPr="00DC0EA9">
        <w:rPr>
          <w:rFonts w:ascii="Times New Roman" w:hAnsi="Times New Roman" w:cs="Times New Roman"/>
          <w:b/>
          <w:sz w:val="24"/>
          <w:szCs w:val="24"/>
        </w:rPr>
        <w:t>OŚWIADCZAM</w:t>
      </w:r>
      <w:r w:rsidRPr="00DC0EA9">
        <w:rPr>
          <w:rFonts w:ascii="Times New Roman" w:hAnsi="Times New Roman" w:cs="Times New Roman"/>
          <w:sz w:val="24"/>
          <w:szCs w:val="24"/>
        </w:rPr>
        <w:t>, że</w:t>
      </w:r>
      <w:r>
        <w:rPr>
          <w:rFonts w:ascii="Times New Roman" w:hAnsi="Times New Roman" w:cs="Times New Roman"/>
          <w:sz w:val="24"/>
          <w:szCs w:val="24"/>
        </w:rPr>
        <w:t xml:space="preserve"> nie jestem podmiotem</w:t>
      </w:r>
      <w:r w:rsidRPr="00DC0EA9">
        <w:rPr>
          <w:rFonts w:ascii="Times New Roman" w:hAnsi="Times New Roman" w:cs="Times New Roman"/>
          <w:sz w:val="24"/>
          <w:szCs w:val="24"/>
        </w:rPr>
        <w:t xml:space="preserve">: </w:t>
      </w:r>
    </w:p>
    <w:p w14:paraId="5D4F85C3" w14:textId="77777777" w:rsidR="00A64B6D" w:rsidRPr="00DC0EA9" w:rsidRDefault="00A64B6D" w:rsidP="00A64B6D">
      <w:pPr>
        <w:pStyle w:val="Akapitzlist"/>
        <w:spacing w:before="120" w:after="120"/>
        <w:ind w:left="993" w:hanging="426"/>
        <w:jc w:val="both"/>
        <w:rPr>
          <w:rFonts w:ascii="Times New Roman" w:hAnsi="Times New Roman"/>
          <w:sz w:val="24"/>
          <w:szCs w:val="24"/>
        </w:rPr>
      </w:pPr>
      <w:r w:rsidRPr="00DC0EA9">
        <w:rPr>
          <w:rFonts w:ascii="Times New Roman" w:hAnsi="Times New Roman"/>
          <w:sz w:val="24"/>
          <w:szCs w:val="24"/>
        </w:rPr>
        <w:t>1)</w:t>
      </w:r>
      <w:r w:rsidRPr="00DC0EA9">
        <w:rPr>
          <w:rFonts w:ascii="Times New Roman" w:hAnsi="Times New Roman"/>
          <w:sz w:val="24"/>
          <w:szCs w:val="24"/>
        </w:rPr>
        <w:tab/>
        <w:t>wymienion</w:t>
      </w:r>
      <w:r>
        <w:rPr>
          <w:rFonts w:ascii="Times New Roman" w:hAnsi="Times New Roman"/>
          <w:sz w:val="24"/>
          <w:szCs w:val="24"/>
        </w:rPr>
        <w:t>ym</w:t>
      </w:r>
      <w:r w:rsidRPr="00DC0EA9">
        <w:rPr>
          <w:rFonts w:ascii="Times New Roman" w:hAnsi="Times New Roman"/>
          <w:sz w:val="24"/>
          <w:szCs w:val="24"/>
        </w:rPr>
        <w:t xml:space="preserve"> w wykazach określonych w rozporządzeniu 765/2006</w:t>
      </w:r>
      <w:r>
        <w:rPr>
          <w:rFonts w:ascii="Times New Roman" w:hAnsi="Times New Roman"/>
          <w:sz w:val="24"/>
          <w:szCs w:val="24"/>
        </w:rPr>
        <w:br/>
      </w:r>
      <w:r w:rsidRPr="00DC0EA9">
        <w:rPr>
          <w:rFonts w:ascii="Times New Roman" w:hAnsi="Times New Roman"/>
          <w:sz w:val="24"/>
          <w:szCs w:val="24"/>
        </w:rPr>
        <w:t>i rozporządzeniu 269/2014 albo wpisany na listę na podstawie decyzji w sprawie wpisu na listę rozstrzygającej o zastosowaniu środka</w:t>
      </w:r>
      <w:r>
        <w:rPr>
          <w:rFonts w:ascii="Times New Roman" w:hAnsi="Times New Roman"/>
          <w:sz w:val="24"/>
          <w:szCs w:val="24"/>
        </w:rPr>
        <w:t xml:space="preserve"> w postaci wykluczenia postępowania</w:t>
      </w:r>
      <w:r w:rsidRPr="00DC0EA9">
        <w:rPr>
          <w:rFonts w:ascii="Times New Roman" w:hAnsi="Times New Roman"/>
          <w:sz w:val="24"/>
          <w:szCs w:val="24"/>
        </w:rPr>
        <w:t xml:space="preserve">; </w:t>
      </w:r>
    </w:p>
    <w:p w14:paraId="4ECB8219" w14:textId="77777777" w:rsidR="00A64B6D" w:rsidRPr="00DC0EA9" w:rsidRDefault="00A64B6D" w:rsidP="00A64B6D">
      <w:pPr>
        <w:pStyle w:val="Akapitzlist"/>
        <w:spacing w:before="120" w:after="120"/>
        <w:ind w:left="993" w:hanging="426"/>
        <w:jc w:val="both"/>
        <w:rPr>
          <w:rFonts w:ascii="Times New Roman" w:hAnsi="Times New Roman"/>
          <w:sz w:val="24"/>
          <w:szCs w:val="24"/>
        </w:rPr>
      </w:pPr>
      <w:r w:rsidRPr="00DC0EA9">
        <w:rPr>
          <w:rFonts w:ascii="Times New Roman" w:hAnsi="Times New Roman"/>
          <w:sz w:val="24"/>
          <w:szCs w:val="24"/>
        </w:rPr>
        <w:t>2)</w:t>
      </w:r>
      <w:r w:rsidRPr="00DC0EA9">
        <w:rPr>
          <w:rFonts w:ascii="Times New Roman" w:hAnsi="Times New Roman"/>
          <w:sz w:val="24"/>
          <w:szCs w:val="24"/>
        </w:rPr>
        <w:tab/>
      </w:r>
      <w:r>
        <w:rPr>
          <w:rFonts w:ascii="Times New Roman" w:hAnsi="Times New Roman"/>
          <w:sz w:val="24"/>
          <w:szCs w:val="24"/>
        </w:rPr>
        <w:t xml:space="preserve">którego </w:t>
      </w:r>
      <w:r w:rsidRPr="00DC0EA9">
        <w:rPr>
          <w:rFonts w:ascii="Times New Roman" w:hAnsi="Times New Roman"/>
          <w:sz w:val="24"/>
          <w:szCs w:val="24"/>
        </w:rPr>
        <w:t xml:space="preserve">beneficjentem rzeczywistym w rozumieniu ustawy z dnia 1 marca 2018 r. </w:t>
      </w:r>
      <w:r>
        <w:rPr>
          <w:rFonts w:ascii="Times New Roman" w:hAnsi="Times New Roman"/>
          <w:sz w:val="24"/>
          <w:szCs w:val="24"/>
        </w:rPr>
        <w:br/>
      </w:r>
      <w:r w:rsidRPr="00DC0EA9">
        <w:rPr>
          <w:rFonts w:ascii="Times New Roman" w:hAnsi="Times New Roman"/>
          <w:sz w:val="24"/>
          <w:szCs w:val="24"/>
        </w:rPr>
        <w:t>o przeciwdziałaniu praniu pieniędzy oraz finansowaniu terroryzmu (Dz. U. z 202</w:t>
      </w:r>
      <w:r>
        <w:rPr>
          <w:rFonts w:ascii="Times New Roman" w:hAnsi="Times New Roman"/>
          <w:sz w:val="24"/>
          <w:szCs w:val="24"/>
        </w:rPr>
        <w:t>3</w:t>
      </w:r>
      <w:r w:rsidRPr="00DC0EA9">
        <w:rPr>
          <w:rFonts w:ascii="Times New Roman" w:hAnsi="Times New Roman"/>
          <w:sz w:val="24"/>
          <w:szCs w:val="24"/>
        </w:rPr>
        <w:t xml:space="preserve"> r. poz. </w:t>
      </w:r>
      <w:r>
        <w:rPr>
          <w:rFonts w:ascii="Times New Roman" w:hAnsi="Times New Roman"/>
          <w:sz w:val="24"/>
          <w:szCs w:val="24"/>
        </w:rPr>
        <w:t>1124 z póź. zm.</w:t>
      </w:r>
      <w:r w:rsidRPr="00DC0EA9">
        <w:rPr>
          <w:rFonts w:ascii="Times New Roman" w:hAnsi="Times New Roman"/>
          <w:sz w:val="24"/>
          <w:szCs w:val="24"/>
        </w:rPr>
        <w:t>)</w:t>
      </w:r>
      <w:r>
        <w:rPr>
          <w:rFonts w:ascii="Times New Roman" w:hAnsi="Times New Roman"/>
          <w:sz w:val="24"/>
          <w:szCs w:val="24"/>
        </w:rPr>
        <w:t xml:space="preserve"> </w:t>
      </w:r>
      <w:r w:rsidRPr="00DC0EA9">
        <w:rPr>
          <w:rFonts w:ascii="Times New Roman" w:hAnsi="Times New Roman"/>
          <w:bCs/>
          <w:sz w:val="24"/>
          <w:szCs w:val="24"/>
        </w:rPr>
        <w:t>jest</w:t>
      </w:r>
      <w:r w:rsidRPr="00DC0EA9">
        <w:rPr>
          <w:rFonts w:ascii="Times New Roman" w:hAnsi="Times New Roman"/>
          <w:b/>
          <w:sz w:val="24"/>
          <w:szCs w:val="24"/>
        </w:rPr>
        <w:t xml:space="preserve"> </w:t>
      </w:r>
      <w:r w:rsidRPr="00DC0EA9">
        <w:rPr>
          <w:rFonts w:ascii="Times New Roman" w:hAnsi="Times New Roman"/>
          <w:sz w:val="24"/>
          <w:szCs w:val="24"/>
        </w:rPr>
        <w:t xml:space="preserve">osoba wymieniona w wykazach określonych </w:t>
      </w:r>
      <w:r>
        <w:rPr>
          <w:rFonts w:ascii="Times New Roman" w:hAnsi="Times New Roman"/>
          <w:sz w:val="24"/>
          <w:szCs w:val="24"/>
        </w:rPr>
        <w:br/>
      </w:r>
      <w:r w:rsidRPr="00DC0EA9">
        <w:rPr>
          <w:rFonts w:ascii="Times New Roman" w:hAnsi="Times New Roman"/>
          <w:sz w:val="24"/>
          <w:szCs w:val="24"/>
        </w:rPr>
        <w:t xml:space="preserve">w rozporządzeniu 765/2006 i rozporządzeniu 269/2014 albo wpisana na listę lub będąca takim beneficjentem rzeczywistym od dnia 24 lutego 2022 r., o ile została wpisana na listę na podstawie decyzji w sprawie wpisu na listę rozstrzygającej </w:t>
      </w:r>
      <w:r>
        <w:rPr>
          <w:rFonts w:ascii="Times New Roman" w:hAnsi="Times New Roman"/>
          <w:sz w:val="24"/>
          <w:szCs w:val="24"/>
        </w:rPr>
        <w:br/>
      </w:r>
      <w:r w:rsidRPr="00DC0EA9">
        <w:rPr>
          <w:rFonts w:ascii="Times New Roman" w:hAnsi="Times New Roman"/>
          <w:sz w:val="24"/>
          <w:szCs w:val="24"/>
        </w:rPr>
        <w:t>o zastosowaniu środka</w:t>
      </w:r>
      <w:r>
        <w:rPr>
          <w:rFonts w:ascii="Times New Roman" w:hAnsi="Times New Roman"/>
          <w:sz w:val="24"/>
          <w:szCs w:val="24"/>
        </w:rPr>
        <w:t xml:space="preserve"> w postaci wykluczenia z postępowania</w:t>
      </w:r>
      <w:r w:rsidRPr="00DC0EA9">
        <w:rPr>
          <w:rFonts w:ascii="Times New Roman" w:hAnsi="Times New Roman"/>
          <w:sz w:val="24"/>
          <w:szCs w:val="24"/>
        </w:rPr>
        <w:t xml:space="preserve">; </w:t>
      </w:r>
    </w:p>
    <w:p w14:paraId="704AE760" w14:textId="77777777" w:rsidR="00A64B6D" w:rsidRDefault="00A64B6D" w:rsidP="00A64B6D">
      <w:pPr>
        <w:pStyle w:val="Akapitzlist"/>
        <w:spacing w:before="120" w:after="120"/>
        <w:ind w:left="993" w:hanging="426"/>
        <w:jc w:val="both"/>
        <w:rPr>
          <w:rFonts w:ascii="Times New Roman" w:hAnsi="Times New Roman"/>
          <w:sz w:val="24"/>
          <w:szCs w:val="24"/>
        </w:rPr>
      </w:pPr>
      <w:r w:rsidRPr="00DC0EA9">
        <w:rPr>
          <w:rFonts w:ascii="Times New Roman" w:hAnsi="Times New Roman"/>
          <w:sz w:val="24"/>
          <w:szCs w:val="24"/>
        </w:rPr>
        <w:t>3)</w:t>
      </w:r>
      <w:r w:rsidRPr="00DC0EA9">
        <w:rPr>
          <w:rFonts w:ascii="Times New Roman" w:hAnsi="Times New Roman"/>
          <w:sz w:val="24"/>
          <w:szCs w:val="24"/>
        </w:rPr>
        <w:tab/>
      </w:r>
      <w:r>
        <w:rPr>
          <w:rFonts w:ascii="Times New Roman" w:hAnsi="Times New Roman"/>
          <w:sz w:val="24"/>
          <w:szCs w:val="24"/>
        </w:rPr>
        <w:t xml:space="preserve">którego </w:t>
      </w:r>
      <w:r w:rsidRPr="00DC0EA9">
        <w:rPr>
          <w:rFonts w:ascii="Times New Roman" w:hAnsi="Times New Roman"/>
          <w:sz w:val="24"/>
          <w:szCs w:val="24"/>
        </w:rPr>
        <w:t>jednostką dominującą w rozumieniu art. 3 ust. 1 pkt 37 ustawy z dnia 29 września 1994 r. o rachunkowości (Dz. U. z 202</w:t>
      </w:r>
      <w:r>
        <w:rPr>
          <w:rFonts w:ascii="Times New Roman" w:hAnsi="Times New Roman"/>
          <w:sz w:val="24"/>
          <w:szCs w:val="24"/>
        </w:rPr>
        <w:t>3</w:t>
      </w:r>
      <w:r w:rsidRPr="00DC0EA9">
        <w:rPr>
          <w:rFonts w:ascii="Times New Roman" w:hAnsi="Times New Roman"/>
          <w:sz w:val="24"/>
          <w:szCs w:val="24"/>
        </w:rPr>
        <w:t xml:space="preserve"> r. poz. </w:t>
      </w:r>
      <w:r>
        <w:rPr>
          <w:rFonts w:ascii="Times New Roman" w:hAnsi="Times New Roman"/>
          <w:sz w:val="24"/>
          <w:szCs w:val="24"/>
        </w:rPr>
        <w:t>120 z późn. zm.</w:t>
      </w:r>
      <w:r w:rsidRPr="00DC0EA9">
        <w:rPr>
          <w:rFonts w:ascii="Times New Roman" w:hAnsi="Times New Roman"/>
          <w:sz w:val="24"/>
          <w:szCs w:val="24"/>
        </w:rPr>
        <w:t xml:space="preserve">), </w:t>
      </w:r>
      <w:r w:rsidRPr="00060865">
        <w:rPr>
          <w:rFonts w:ascii="Times New Roman" w:hAnsi="Times New Roman"/>
          <w:bCs/>
          <w:sz w:val="24"/>
          <w:szCs w:val="24"/>
        </w:rPr>
        <w:t>jest</w:t>
      </w:r>
      <w:r w:rsidRPr="00DC0EA9">
        <w:rPr>
          <w:rFonts w:ascii="Times New Roman" w:hAnsi="Times New Roman"/>
          <w:b/>
          <w:sz w:val="24"/>
          <w:szCs w:val="24"/>
        </w:rPr>
        <w:t xml:space="preserve"> </w:t>
      </w:r>
      <w:r w:rsidRPr="00DC0EA9">
        <w:rPr>
          <w:rFonts w:ascii="Times New Roman" w:hAnsi="Times New Roman"/>
          <w:sz w:val="24"/>
          <w:szCs w:val="24"/>
        </w:rPr>
        <w:t xml:space="preserve">podmiot wymieniony w wykazach określonych w rozporządzeniu 765/2006 </w:t>
      </w:r>
      <w:r>
        <w:rPr>
          <w:rFonts w:ascii="Times New Roman" w:hAnsi="Times New Roman"/>
          <w:sz w:val="24"/>
          <w:szCs w:val="24"/>
        </w:rPr>
        <w:br/>
      </w:r>
      <w:r w:rsidRPr="00DC0EA9">
        <w:rPr>
          <w:rFonts w:ascii="Times New Roman" w:hAnsi="Times New Roman"/>
          <w:sz w:val="24"/>
          <w:szCs w:val="24"/>
        </w:rPr>
        <w:t>i rozporządzeniu 269/2014 albo wpisany na listę lub będący taką jednostką dominującą od dnia 24 lutego 2022 r., o ile został wpisany na listę na podstawie decyzji w sprawie wpisu na listę rozstrzygającej o zastosowaniu środka</w:t>
      </w:r>
      <w:r>
        <w:rPr>
          <w:rFonts w:ascii="Times New Roman" w:hAnsi="Times New Roman"/>
          <w:sz w:val="24"/>
          <w:szCs w:val="24"/>
        </w:rPr>
        <w:t xml:space="preserve"> w postaci wykluczenia z postępowania</w:t>
      </w:r>
      <w:r w:rsidRPr="00DC0EA9">
        <w:rPr>
          <w:rFonts w:ascii="Times New Roman" w:hAnsi="Times New Roman"/>
          <w:sz w:val="24"/>
          <w:szCs w:val="24"/>
        </w:rPr>
        <w:t>.</w:t>
      </w:r>
    </w:p>
    <w:p w14:paraId="049B361B" w14:textId="77777777" w:rsidR="00A64B6D" w:rsidRDefault="00A64B6D" w:rsidP="00A64B6D">
      <w:pPr>
        <w:pStyle w:val="Akapitzlist"/>
        <w:spacing w:before="120" w:after="120"/>
        <w:ind w:left="993" w:hanging="426"/>
        <w:jc w:val="both"/>
        <w:rPr>
          <w:rFonts w:ascii="Times New Roman" w:hAnsi="Times New Roman"/>
          <w:sz w:val="24"/>
          <w:szCs w:val="24"/>
        </w:rPr>
      </w:pPr>
    </w:p>
    <w:p w14:paraId="51775065" w14:textId="77777777" w:rsidR="00A64B6D" w:rsidRPr="00DC0EA9" w:rsidRDefault="00A64B6D" w:rsidP="00A64B6D">
      <w:pPr>
        <w:pStyle w:val="Akapitzlist"/>
        <w:spacing w:before="120" w:after="120"/>
        <w:ind w:left="993" w:hanging="426"/>
        <w:jc w:val="both"/>
        <w:rPr>
          <w:rFonts w:ascii="Times New Roman" w:hAnsi="Times New Roman"/>
          <w:sz w:val="24"/>
          <w:szCs w:val="24"/>
        </w:rPr>
      </w:pPr>
    </w:p>
    <w:tbl>
      <w:tblPr>
        <w:tblW w:w="0" w:type="auto"/>
        <w:tblInd w:w="-106" w:type="dxa"/>
        <w:tblLook w:val="00A0" w:firstRow="1" w:lastRow="0" w:firstColumn="1" w:lastColumn="0" w:noHBand="0" w:noVBand="0"/>
      </w:tblPr>
      <w:tblGrid>
        <w:gridCol w:w="4200"/>
        <w:gridCol w:w="581"/>
        <w:gridCol w:w="581"/>
        <w:gridCol w:w="3816"/>
      </w:tblGrid>
      <w:tr w:rsidR="00A64B6D" w:rsidRPr="00513D4C" w14:paraId="47C8A21C" w14:textId="77777777" w:rsidTr="001976A8">
        <w:tc>
          <w:tcPr>
            <w:tcW w:w="4250" w:type="dxa"/>
          </w:tcPr>
          <w:p w14:paraId="6954216F" w14:textId="5C2291FD" w:rsidR="00A64B6D" w:rsidRPr="00513D4C" w:rsidRDefault="00A64B6D" w:rsidP="001976A8">
            <w:pPr>
              <w:spacing w:after="0" w:line="360" w:lineRule="auto"/>
              <w:jc w:val="both"/>
              <w:rPr>
                <w:rFonts w:ascii="Times New Roman" w:hAnsi="Times New Roman" w:cs="Times New Roman"/>
                <w:sz w:val="24"/>
                <w:szCs w:val="24"/>
              </w:rPr>
            </w:pPr>
            <w:r w:rsidRPr="00513D4C">
              <w:rPr>
                <w:rFonts w:ascii="Times New Roman" w:hAnsi="Times New Roman" w:cs="Times New Roman"/>
                <w:sz w:val="24"/>
                <w:szCs w:val="24"/>
              </w:rPr>
              <w:t>.........…………..….dnia................20</w:t>
            </w:r>
            <w:r>
              <w:rPr>
                <w:rFonts w:ascii="Times New Roman" w:hAnsi="Times New Roman" w:cs="Times New Roman"/>
                <w:sz w:val="24"/>
                <w:szCs w:val="24"/>
              </w:rPr>
              <w:t xml:space="preserve">25 r.  </w:t>
            </w:r>
            <w:r w:rsidRPr="00513D4C">
              <w:rPr>
                <w:rFonts w:ascii="Times New Roman" w:hAnsi="Times New Roman" w:cs="Times New Roman"/>
                <w:sz w:val="24"/>
                <w:szCs w:val="24"/>
              </w:rPr>
              <w:t xml:space="preserve"> </w:t>
            </w:r>
          </w:p>
        </w:tc>
        <w:tc>
          <w:tcPr>
            <w:tcW w:w="664" w:type="dxa"/>
          </w:tcPr>
          <w:p w14:paraId="5B938AFF" w14:textId="77777777" w:rsidR="00A64B6D" w:rsidRPr="00513D4C" w:rsidRDefault="00A64B6D" w:rsidP="001976A8">
            <w:pPr>
              <w:spacing w:after="0" w:line="360" w:lineRule="auto"/>
              <w:jc w:val="both"/>
              <w:rPr>
                <w:rFonts w:ascii="Times New Roman" w:hAnsi="Times New Roman" w:cs="Times New Roman"/>
                <w:sz w:val="24"/>
                <w:szCs w:val="24"/>
              </w:rPr>
            </w:pPr>
          </w:p>
        </w:tc>
        <w:tc>
          <w:tcPr>
            <w:tcW w:w="664" w:type="dxa"/>
          </w:tcPr>
          <w:p w14:paraId="46483326" w14:textId="77777777" w:rsidR="00A64B6D" w:rsidRPr="00513D4C" w:rsidRDefault="00A64B6D" w:rsidP="001976A8">
            <w:pPr>
              <w:spacing w:after="0" w:line="360" w:lineRule="auto"/>
              <w:jc w:val="both"/>
              <w:rPr>
                <w:rFonts w:ascii="Times New Roman" w:hAnsi="Times New Roman" w:cs="Times New Roman"/>
                <w:sz w:val="24"/>
                <w:szCs w:val="24"/>
              </w:rPr>
            </w:pPr>
          </w:p>
        </w:tc>
        <w:tc>
          <w:tcPr>
            <w:tcW w:w="3816" w:type="dxa"/>
          </w:tcPr>
          <w:p w14:paraId="5ADF22D4" w14:textId="77777777" w:rsidR="00A64B6D" w:rsidRPr="00513D4C" w:rsidRDefault="00A64B6D" w:rsidP="001976A8">
            <w:pPr>
              <w:spacing w:after="0" w:line="360" w:lineRule="auto"/>
              <w:jc w:val="both"/>
              <w:rPr>
                <w:rFonts w:ascii="Times New Roman" w:hAnsi="Times New Roman" w:cs="Times New Roman"/>
                <w:sz w:val="24"/>
                <w:szCs w:val="24"/>
              </w:rPr>
            </w:pPr>
          </w:p>
          <w:p w14:paraId="3D47F9AE" w14:textId="77777777" w:rsidR="00A64B6D" w:rsidRPr="00513D4C" w:rsidRDefault="00A64B6D" w:rsidP="001976A8">
            <w:pPr>
              <w:spacing w:after="0" w:line="360" w:lineRule="auto"/>
              <w:jc w:val="both"/>
              <w:rPr>
                <w:rFonts w:ascii="Times New Roman" w:hAnsi="Times New Roman" w:cs="Times New Roman"/>
                <w:sz w:val="24"/>
                <w:szCs w:val="24"/>
              </w:rPr>
            </w:pPr>
          </w:p>
          <w:p w14:paraId="0D4259D0" w14:textId="77777777" w:rsidR="00A64B6D" w:rsidRPr="00513D4C" w:rsidRDefault="00A64B6D" w:rsidP="001976A8">
            <w:pPr>
              <w:spacing w:after="0" w:line="360" w:lineRule="auto"/>
              <w:jc w:val="both"/>
              <w:rPr>
                <w:rFonts w:ascii="Times New Roman" w:hAnsi="Times New Roman" w:cs="Times New Roman"/>
                <w:sz w:val="24"/>
                <w:szCs w:val="24"/>
              </w:rPr>
            </w:pPr>
          </w:p>
          <w:p w14:paraId="457C2C9F" w14:textId="77777777" w:rsidR="00A64B6D" w:rsidRPr="00513D4C" w:rsidRDefault="00A64B6D" w:rsidP="001976A8">
            <w:pPr>
              <w:spacing w:after="0" w:line="360" w:lineRule="auto"/>
              <w:jc w:val="both"/>
              <w:rPr>
                <w:rFonts w:ascii="Times New Roman" w:hAnsi="Times New Roman" w:cs="Times New Roman"/>
                <w:sz w:val="24"/>
                <w:szCs w:val="24"/>
              </w:rPr>
            </w:pPr>
            <w:r w:rsidRPr="00513D4C">
              <w:rPr>
                <w:rFonts w:ascii="Times New Roman" w:hAnsi="Times New Roman" w:cs="Times New Roman"/>
                <w:sz w:val="24"/>
                <w:szCs w:val="24"/>
              </w:rPr>
              <w:t>............................................................</w:t>
            </w:r>
          </w:p>
        </w:tc>
      </w:tr>
      <w:tr w:rsidR="00A64B6D" w:rsidRPr="00513D4C" w14:paraId="2026555C" w14:textId="77777777" w:rsidTr="001976A8">
        <w:tc>
          <w:tcPr>
            <w:tcW w:w="4250" w:type="dxa"/>
            <w:vAlign w:val="center"/>
          </w:tcPr>
          <w:p w14:paraId="2411DB9B" w14:textId="77777777" w:rsidR="00A64B6D" w:rsidRDefault="00A64B6D" w:rsidP="001976A8">
            <w:pPr>
              <w:spacing w:after="0" w:line="360" w:lineRule="auto"/>
              <w:jc w:val="center"/>
              <w:rPr>
                <w:rFonts w:ascii="Times New Roman" w:hAnsi="Times New Roman" w:cs="Times New Roman"/>
                <w:sz w:val="24"/>
                <w:szCs w:val="24"/>
              </w:rPr>
            </w:pPr>
          </w:p>
          <w:p w14:paraId="35AE57D3" w14:textId="77777777" w:rsidR="00A64B6D" w:rsidRPr="00513D4C" w:rsidRDefault="00A64B6D" w:rsidP="001976A8">
            <w:pPr>
              <w:spacing w:after="0" w:line="360" w:lineRule="auto"/>
              <w:jc w:val="center"/>
              <w:rPr>
                <w:rFonts w:ascii="Times New Roman" w:hAnsi="Times New Roman" w:cs="Times New Roman"/>
                <w:sz w:val="24"/>
                <w:szCs w:val="24"/>
              </w:rPr>
            </w:pPr>
          </w:p>
        </w:tc>
        <w:tc>
          <w:tcPr>
            <w:tcW w:w="664" w:type="dxa"/>
          </w:tcPr>
          <w:p w14:paraId="7C6BF90A" w14:textId="77777777" w:rsidR="00A64B6D" w:rsidRPr="00513D4C" w:rsidRDefault="00A64B6D" w:rsidP="001976A8">
            <w:pPr>
              <w:spacing w:after="0" w:line="360" w:lineRule="auto"/>
              <w:jc w:val="both"/>
              <w:rPr>
                <w:rFonts w:ascii="Times New Roman" w:hAnsi="Times New Roman" w:cs="Times New Roman"/>
                <w:sz w:val="24"/>
                <w:szCs w:val="24"/>
              </w:rPr>
            </w:pPr>
          </w:p>
        </w:tc>
        <w:tc>
          <w:tcPr>
            <w:tcW w:w="664" w:type="dxa"/>
          </w:tcPr>
          <w:p w14:paraId="553DE819" w14:textId="77777777" w:rsidR="00A64B6D" w:rsidRPr="00513D4C" w:rsidRDefault="00A64B6D" w:rsidP="001976A8">
            <w:pPr>
              <w:spacing w:after="0" w:line="360" w:lineRule="auto"/>
              <w:jc w:val="both"/>
              <w:rPr>
                <w:rFonts w:ascii="Times New Roman" w:hAnsi="Times New Roman" w:cs="Times New Roman"/>
                <w:sz w:val="24"/>
                <w:szCs w:val="24"/>
              </w:rPr>
            </w:pPr>
          </w:p>
        </w:tc>
        <w:tc>
          <w:tcPr>
            <w:tcW w:w="3816" w:type="dxa"/>
            <w:vAlign w:val="center"/>
          </w:tcPr>
          <w:p w14:paraId="42FDDD79" w14:textId="77777777" w:rsidR="00A64B6D" w:rsidRPr="00513D4C" w:rsidRDefault="00A64B6D" w:rsidP="001976A8">
            <w:pPr>
              <w:tabs>
                <w:tab w:val="left" w:pos="5670"/>
              </w:tabs>
              <w:spacing w:after="0" w:line="240" w:lineRule="auto"/>
              <w:jc w:val="center"/>
              <w:rPr>
                <w:rFonts w:ascii="Times New Roman" w:hAnsi="Times New Roman" w:cs="Times New Roman"/>
                <w:sz w:val="24"/>
                <w:szCs w:val="24"/>
              </w:rPr>
            </w:pPr>
            <w:r w:rsidRPr="00513D4C">
              <w:rPr>
                <w:rFonts w:ascii="Times New Roman" w:hAnsi="Times New Roman" w:cs="Times New Roman"/>
                <w:i/>
                <w:iCs/>
                <w:sz w:val="18"/>
                <w:szCs w:val="24"/>
                <w:lang w:eastAsia="pl-PL"/>
              </w:rPr>
              <w:t>(podpis(y) osoby (osób) uprawnionej(nych)do reprezentacji Wykonawcy)</w:t>
            </w:r>
          </w:p>
        </w:tc>
      </w:tr>
    </w:tbl>
    <w:p w14:paraId="79A55B32" w14:textId="77777777" w:rsidR="00A64B6D" w:rsidRPr="00AD12FB" w:rsidRDefault="00A64B6D" w:rsidP="00A64B6D">
      <w:pPr>
        <w:autoSpaceDE w:val="0"/>
        <w:rPr>
          <w:rFonts w:ascii="Times New Roman" w:hAnsi="Times New Roman" w:cs="Times New Roman"/>
          <w:b/>
          <w:color w:val="0D0D0D"/>
          <w:u w:val="single"/>
        </w:rPr>
      </w:pPr>
      <w:r w:rsidRPr="00AD12FB">
        <w:rPr>
          <w:rFonts w:ascii="Times New Roman" w:hAnsi="Times New Roman"/>
          <w:b/>
          <w:color w:val="0D0D0D"/>
          <w:u w:val="single"/>
        </w:rPr>
        <w:t>Pouczenie :</w:t>
      </w:r>
    </w:p>
    <w:p w14:paraId="57A896E2" w14:textId="77777777" w:rsidR="00A64B6D" w:rsidRPr="00AD12FB" w:rsidRDefault="00A64B6D" w:rsidP="00A64B6D">
      <w:pPr>
        <w:autoSpaceDE w:val="0"/>
        <w:rPr>
          <w:rFonts w:ascii="Times New Roman" w:hAnsi="Times New Roman"/>
          <w:color w:val="0D0D0D"/>
          <w:u w:val="single"/>
        </w:rPr>
      </w:pPr>
    </w:p>
    <w:p w14:paraId="79B1308B" w14:textId="77777777" w:rsidR="00A64B6D" w:rsidRPr="00AD12FB" w:rsidRDefault="00A64B6D" w:rsidP="00A64B6D">
      <w:pPr>
        <w:autoSpaceDE w:val="0"/>
        <w:spacing w:after="240"/>
        <w:jc w:val="both"/>
        <w:rPr>
          <w:rFonts w:ascii="Times New Roman" w:hAnsi="Times New Roman"/>
          <w:color w:val="0D0D0D"/>
          <w:sz w:val="18"/>
          <w:szCs w:val="18"/>
        </w:rPr>
      </w:pPr>
      <w:r w:rsidRPr="00AD12FB">
        <w:rPr>
          <w:rFonts w:ascii="Times New Roman" w:hAnsi="Times New Roman"/>
          <w:color w:val="0D0D0D"/>
          <w:sz w:val="18"/>
          <w:szCs w:val="18"/>
          <w:u w:val="single"/>
        </w:rPr>
        <w:t xml:space="preserve">Art. 7 ust. 1 ustawy </w:t>
      </w:r>
      <w:r w:rsidRPr="00AD12FB">
        <w:rPr>
          <w:rFonts w:ascii="Times New Roman" w:hAnsi="Times New Roman"/>
          <w:color w:val="0D0D0D"/>
          <w:sz w:val="18"/>
          <w:szCs w:val="18"/>
        </w:rPr>
        <w:t>13 kwietnia 2022 r. o szczególnych rozwiązaniach w zakresie przeciwdziałania wspieraniu agresji na Ukrainę oraz służących ochronie bezpieczeństwa narodowego stanowi, że :</w:t>
      </w:r>
    </w:p>
    <w:p w14:paraId="1DA03989" w14:textId="77777777" w:rsidR="00A64B6D" w:rsidRPr="00AD12FB" w:rsidRDefault="00A64B6D" w:rsidP="00A64B6D">
      <w:pPr>
        <w:autoSpaceDE w:val="0"/>
        <w:spacing w:after="240"/>
        <w:jc w:val="both"/>
        <w:rPr>
          <w:rFonts w:ascii="Times New Roman" w:hAnsi="Times New Roman"/>
          <w:color w:val="0D0D0D"/>
          <w:sz w:val="18"/>
          <w:szCs w:val="18"/>
        </w:rPr>
      </w:pPr>
      <w:r w:rsidRPr="00AD12FB">
        <w:rPr>
          <w:rFonts w:ascii="Times New Roman" w:hAnsi="Times New Roman"/>
          <w:color w:val="0D0D0D"/>
          <w:sz w:val="18"/>
          <w:szCs w:val="18"/>
        </w:rPr>
        <w:t>Z postępowania o udzielenie zamówienia publicznego lub konkursu prowadzonego na podstawie ustawy z dnia 11 września 2019 r. - Prawo zamówień publicznych wyklucza się:</w:t>
      </w:r>
    </w:p>
    <w:p w14:paraId="26CC0C1F" w14:textId="77777777" w:rsidR="00A64B6D" w:rsidRPr="00AD12FB" w:rsidRDefault="00A64B6D" w:rsidP="00A64B6D">
      <w:pPr>
        <w:jc w:val="both"/>
        <w:rPr>
          <w:rFonts w:ascii="Times New Roman" w:hAnsi="Times New Roman"/>
          <w:color w:val="0D0D0D"/>
          <w:sz w:val="18"/>
          <w:szCs w:val="18"/>
        </w:rPr>
      </w:pPr>
      <w:r w:rsidRPr="00AD12FB">
        <w:rPr>
          <w:rFonts w:ascii="Times New Roman" w:hAnsi="Times New Roman"/>
          <w:color w:val="0D0D0D"/>
          <w:sz w:val="18"/>
          <w:szCs w:val="18"/>
        </w:rPr>
        <w:t>1)</w:t>
      </w:r>
      <w:r w:rsidRPr="00AD12FB">
        <w:rPr>
          <w:rStyle w:val="apple-converted-space"/>
          <w:rFonts w:ascii="Times New Roman" w:hAnsi="Times New Roman"/>
          <w:color w:val="0D0D0D"/>
          <w:sz w:val="18"/>
          <w:szCs w:val="18"/>
        </w:rPr>
        <w:t> </w:t>
      </w:r>
      <w:r w:rsidRPr="00AD12FB">
        <w:rPr>
          <w:rFonts w:ascii="Times New Roman" w:hAnsi="Times New Roman"/>
          <w:color w:val="0D0D0D"/>
          <w:sz w:val="18"/>
          <w:szCs w:val="18"/>
        </w:rPr>
        <w:t>wykonawcę oraz uczestnika konkursu wymienionego w wykazach określonych w rozporządzeniu 765/2006 i</w:t>
      </w:r>
      <w:r>
        <w:rPr>
          <w:rFonts w:ascii="Times New Roman" w:hAnsi="Times New Roman"/>
          <w:color w:val="0D0D0D"/>
          <w:sz w:val="18"/>
          <w:szCs w:val="18"/>
        </w:rPr>
        <w:t> </w:t>
      </w:r>
      <w:r w:rsidRPr="00AD12FB">
        <w:rPr>
          <w:rFonts w:ascii="Times New Roman" w:hAnsi="Times New Roman"/>
          <w:color w:val="0D0D0D"/>
          <w:sz w:val="18"/>
          <w:szCs w:val="18"/>
        </w:rPr>
        <w:t>rozporządzeniu 269/2014 albo wpisanego na listę na podstawie decyzji w sprawie wpisu na listę rozstrzygającej o</w:t>
      </w:r>
      <w:r>
        <w:rPr>
          <w:rFonts w:ascii="Times New Roman" w:hAnsi="Times New Roman"/>
          <w:color w:val="0D0D0D"/>
          <w:sz w:val="18"/>
          <w:szCs w:val="18"/>
        </w:rPr>
        <w:t> </w:t>
      </w:r>
      <w:r w:rsidRPr="00AD12FB">
        <w:rPr>
          <w:rFonts w:ascii="Times New Roman" w:hAnsi="Times New Roman"/>
          <w:color w:val="0D0D0D"/>
          <w:sz w:val="18"/>
          <w:szCs w:val="18"/>
        </w:rPr>
        <w:t>zastosowaniu środka, o którym mowa w art. 1 pkt 3;</w:t>
      </w:r>
    </w:p>
    <w:p w14:paraId="7CF9C272" w14:textId="77777777" w:rsidR="00A64B6D" w:rsidRPr="00AD12FB" w:rsidRDefault="00A64B6D" w:rsidP="00A64B6D">
      <w:pPr>
        <w:jc w:val="both"/>
        <w:rPr>
          <w:rFonts w:ascii="Times New Roman" w:hAnsi="Times New Roman"/>
          <w:color w:val="0D0D0D"/>
          <w:sz w:val="18"/>
          <w:szCs w:val="18"/>
        </w:rPr>
      </w:pPr>
      <w:r w:rsidRPr="00AD12FB">
        <w:rPr>
          <w:rFonts w:ascii="Times New Roman" w:hAnsi="Times New Roman"/>
          <w:color w:val="0D0D0D"/>
          <w:sz w:val="18"/>
          <w:szCs w:val="18"/>
        </w:rPr>
        <w:t>2)</w:t>
      </w:r>
      <w:r w:rsidRPr="00AD12FB">
        <w:rPr>
          <w:rStyle w:val="apple-converted-space"/>
          <w:rFonts w:ascii="Times New Roman" w:hAnsi="Times New Roman"/>
          <w:color w:val="0D0D0D"/>
          <w:sz w:val="18"/>
          <w:szCs w:val="18"/>
        </w:rPr>
        <w:t> </w:t>
      </w:r>
      <w:r w:rsidRPr="00AD12FB">
        <w:rPr>
          <w:rFonts w:ascii="Times New Roman" w:hAnsi="Times New Roman"/>
          <w:color w:val="0D0D0D"/>
          <w:sz w:val="18"/>
          <w:szCs w:val="18"/>
        </w:rPr>
        <w:t>wykonawcę oraz uczestnika konkursu, którego beneficjentem rzeczywistym w rozumieniu ustawy z dnia 1 marca 2018 r. o</w:t>
      </w:r>
      <w:r>
        <w:rPr>
          <w:rFonts w:ascii="Times New Roman" w:hAnsi="Times New Roman"/>
          <w:color w:val="0D0D0D"/>
          <w:sz w:val="18"/>
          <w:szCs w:val="18"/>
        </w:rPr>
        <w:t> </w:t>
      </w:r>
      <w:r w:rsidRPr="00AD12FB">
        <w:rPr>
          <w:rFonts w:ascii="Times New Roman" w:hAnsi="Times New Roman"/>
          <w:color w:val="0D0D0D"/>
          <w:sz w:val="18"/>
          <w:szCs w:val="18"/>
        </w:rPr>
        <w:t>przeciwdziałaniu praniu pieniędzy oraz finansowaniu terroryzmu (Dz. U. z 2022 r. poz. 593 ze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14A590AB" w14:textId="77777777" w:rsidR="00A64B6D" w:rsidRPr="00AD12FB" w:rsidRDefault="00A64B6D" w:rsidP="00A64B6D">
      <w:pPr>
        <w:jc w:val="both"/>
        <w:rPr>
          <w:rFonts w:ascii="Times New Roman" w:hAnsi="Times New Roman"/>
          <w:color w:val="0D0D0D"/>
          <w:sz w:val="18"/>
          <w:szCs w:val="18"/>
        </w:rPr>
      </w:pPr>
      <w:r w:rsidRPr="00AD12FB">
        <w:rPr>
          <w:rFonts w:ascii="Times New Roman" w:hAnsi="Times New Roman"/>
          <w:color w:val="0D0D0D"/>
          <w:sz w:val="18"/>
          <w:szCs w:val="18"/>
        </w:rPr>
        <w:t>3)</w:t>
      </w:r>
      <w:r w:rsidRPr="00AD12FB">
        <w:rPr>
          <w:rStyle w:val="apple-converted-space"/>
          <w:rFonts w:ascii="Times New Roman" w:hAnsi="Times New Roman"/>
          <w:color w:val="0D0D0D"/>
          <w:sz w:val="18"/>
          <w:szCs w:val="18"/>
        </w:rPr>
        <w:t> </w:t>
      </w:r>
      <w:r w:rsidRPr="00AD12FB">
        <w:rPr>
          <w:rFonts w:ascii="Times New Roman" w:hAnsi="Times New Roman"/>
          <w:color w:val="0D0D0D"/>
          <w:sz w:val="18"/>
          <w:szCs w:val="18"/>
        </w:rPr>
        <w:t>wykonawcę oraz uczestnika konkursu, którego jednostką dominującą w rozumieniu art. 3 ust. 1 pkt 37 ustawy z dnia 29 września 1994 r. o rachunkowości (Dz. U. z 2023 r. poz. 120), jest podmiot wymieniony w wykazach określonych w</w:t>
      </w:r>
      <w:r>
        <w:rPr>
          <w:rFonts w:ascii="Times New Roman" w:hAnsi="Times New Roman"/>
          <w:color w:val="0D0D0D"/>
          <w:sz w:val="18"/>
          <w:szCs w:val="18"/>
        </w:rPr>
        <w:t> </w:t>
      </w:r>
      <w:r w:rsidRPr="00AD12FB">
        <w:rPr>
          <w:rFonts w:ascii="Times New Roman" w:hAnsi="Times New Roman"/>
          <w:color w:val="0D0D0D"/>
          <w:sz w:val="18"/>
          <w:szCs w:val="18"/>
        </w:rPr>
        <w:t>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2EABB056" w14:textId="77777777" w:rsidR="00A64B6D" w:rsidRPr="00AD12FB" w:rsidRDefault="00A64B6D" w:rsidP="00A64B6D">
      <w:pPr>
        <w:jc w:val="both"/>
        <w:rPr>
          <w:rFonts w:ascii="Times New Roman" w:hAnsi="Times New Roman"/>
          <w:color w:val="0D0D0D"/>
          <w:sz w:val="18"/>
          <w:szCs w:val="18"/>
        </w:rPr>
      </w:pPr>
      <w:r w:rsidRPr="00AD12FB">
        <w:rPr>
          <w:rFonts w:ascii="Times New Roman" w:hAnsi="Times New Roman"/>
          <w:color w:val="0D0D0D"/>
          <w:sz w:val="18"/>
          <w:szCs w:val="18"/>
        </w:rPr>
        <w:t>2. Wykluczenie następuje na okres trwania okoliczności określonych w ust. 1.</w:t>
      </w:r>
    </w:p>
    <w:p w14:paraId="0B98A046" w14:textId="77777777" w:rsidR="00A64B6D" w:rsidRPr="00AD12FB" w:rsidRDefault="00A64B6D" w:rsidP="00A64B6D">
      <w:pPr>
        <w:jc w:val="both"/>
        <w:rPr>
          <w:rFonts w:ascii="Times New Roman" w:hAnsi="Times New Roman"/>
          <w:color w:val="0D0D0D"/>
          <w:sz w:val="18"/>
          <w:szCs w:val="18"/>
        </w:rPr>
      </w:pPr>
      <w:r w:rsidRPr="00AD12FB">
        <w:rPr>
          <w:rFonts w:ascii="Times New Roman" w:hAnsi="Times New Roman"/>
          <w:color w:val="0D0D0D"/>
          <w:sz w:val="18"/>
          <w:szCs w:val="18"/>
        </w:rPr>
        <w:t>3. W przypadku wykonawcy lub uczestnika konkursu wykluczonego na podstawie ust. 1, zamawiający odrzuca wniosek o</w:t>
      </w:r>
      <w:r>
        <w:rPr>
          <w:rFonts w:ascii="Times New Roman" w:hAnsi="Times New Roman"/>
          <w:color w:val="0D0D0D"/>
          <w:sz w:val="18"/>
          <w:szCs w:val="18"/>
        </w:rPr>
        <w:t> </w:t>
      </w:r>
      <w:r w:rsidRPr="00AD12FB">
        <w:rPr>
          <w:rFonts w:ascii="Times New Roman" w:hAnsi="Times New Roman"/>
          <w:color w:val="0D0D0D"/>
          <w:sz w:val="18"/>
          <w:szCs w:val="18"/>
        </w:rPr>
        <w:t>dopuszczenie do udziału w postępowaniu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oraz etapu prowadzonego postępowania.</w:t>
      </w:r>
    </w:p>
    <w:p w14:paraId="7949466A" w14:textId="77777777" w:rsidR="00A64B6D" w:rsidRPr="00AD12FB" w:rsidRDefault="00A64B6D" w:rsidP="00A64B6D">
      <w:pPr>
        <w:jc w:val="both"/>
        <w:rPr>
          <w:rFonts w:ascii="Times New Roman" w:hAnsi="Times New Roman"/>
          <w:color w:val="0D0D0D"/>
          <w:sz w:val="18"/>
          <w:szCs w:val="18"/>
        </w:rPr>
      </w:pPr>
      <w:r w:rsidRPr="00AD12FB">
        <w:rPr>
          <w:rFonts w:ascii="Times New Roman" w:hAnsi="Times New Roman"/>
          <w:color w:val="0D0D0D"/>
          <w:sz w:val="18"/>
          <w:szCs w:val="18"/>
        </w:rPr>
        <w:t>4. Kontrola udzielania zamówień publicznych w zakresie zgodności z ust. 1 jest wykonywana zgodnie z art. 596 ustawy z</w:t>
      </w:r>
      <w:r>
        <w:rPr>
          <w:rFonts w:ascii="Times New Roman" w:hAnsi="Times New Roman"/>
          <w:color w:val="0D0D0D"/>
          <w:sz w:val="18"/>
          <w:szCs w:val="18"/>
        </w:rPr>
        <w:t> </w:t>
      </w:r>
      <w:r w:rsidRPr="00AD12FB">
        <w:rPr>
          <w:rFonts w:ascii="Times New Roman" w:hAnsi="Times New Roman"/>
          <w:color w:val="0D0D0D"/>
          <w:sz w:val="18"/>
          <w:szCs w:val="18"/>
        </w:rPr>
        <w:t>dnia 11 września 2019 r. - Prawo zamówień publicznych.</w:t>
      </w:r>
    </w:p>
    <w:p w14:paraId="0B1F3810" w14:textId="77777777" w:rsidR="00A64B6D" w:rsidRPr="00AD12FB" w:rsidRDefault="00A64B6D" w:rsidP="00A64B6D">
      <w:pPr>
        <w:jc w:val="both"/>
        <w:rPr>
          <w:rFonts w:ascii="Times New Roman" w:hAnsi="Times New Roman"/>
          <w:color w:val="0D0D0D"/>
          <w:sz w:val="18"/>
          <w:szCs w:val="18"/>
        </w:rPr>
      </w:pPr>
      <w:r w:rsidRPr="00AD12FB">
        <w:rPr>
          <w:rFonts w:ascii="Times New Roman" w:hAnsi="Times New Roman"/>
          <w:color w:val="0D0D0D"/>
          <w:sz w:val="18"/>
          <w:szCs w:val="18"/>
        </w:rPr>
        <w:t>5. Przez ubieganie się o udzielenie zamówienia publicznego lub dopuszczenie do udziału w konkursie rozumie się odpowiednio złożenie wniosku o dopuszczenie do udziału w postępowaniu lub konkursie, złożenie oferty, przystąpienie do negocjacji lub złożenie pracy konkursowej.</w:t>
      </w:r>
    </w:p>
    <w:p w14:paraId="47B6727D" w14:textId="77777777" w:rsidR="00A64B6D" w:rsidRPr="00AD12FB" w:rsidRDefault="00A64B6D" w:rsidP="00A64B6D">
      <w:pPr>
        <w:jc w:val="both"/>
        <w:rPr>
          <w:rFonts w:ascii="Times New Roman" w:hAnsi="Times New Roman"/>
          <w:color w:val="0D0D0D"/>
          <w:sz w:val="18"/>
          <w:szCs w:val="18"/>
        </w:rPr>
      </w:pPr>
      <w:r w:rsidRPr="00AD12FB">
        <w:rPr>
          <w:rFonts w:ascii="Times New Roman" w:hAnsi="Times New Roman"/>
          <w:color w:val="0D0D0D"/>
          <w:sz w:val="18"/>
          <w:szCs w:val="18"/>
        </w:rPr>
        <w:t>6. Osoba lub podmiot podlegające wykluczeniu na podstawie ust. 1, które w okresie tego wykluczenia ubiegają się o</w:t>
      </w:r>
      <w:r>
        <w:rPr>
          <w:rFonts w:ascii="Times New Roman" w:hAnsi="Times New Roman"/>
          <w:color w:val="0D0D0D"/>
          <w:sz w:val="18"/>
          <w:szCs w:val="18"/>
        </w:rPr>
        <w:t> </w:t>
      </w:r>
      <w:r w:rsidRPr="00AD12FB">
        <w:rPr>
          <w:rFonts w:ascii="Times New Roman" w:hAnsi="Times New Roman"/>
          <w:color w:val="0D0D0D"/>
          <w:sz w:val="18"/>
          <w:szCs w:val="18"/>
        </w:rPr>
        <w:t>udzielenie zamówienia publicznego lub dopuszczenie do udziału w konkursie lub biorą udział w postępowaniu o udzielenie zamówienia publicznego lub w konkursie, podlegają karze pieniężnej.</w:t>
      </w:r>
    </w:p>
    <w:p w14:paraId="3D52F37C" w14:textId="77777777" w:rsidR="00A64B6D" w:rsidRPr="00AD12FB" w:rsidRDefault="00A64B6D" w:rsidP="00A64B6D">
      <w:pPr>
        <w:jc w:val="both"/>
        <w:rPr>
          <w:rFonts w:ascii="Times New Roman" w:hAnsi="Times New Roman"/>
          <w:color w:val="0D0D0D"/>
          <w:sz w:val="18"/>
          <w:szCs w:val="18"/>
        </w:rPr>
      </w:pPr>
      <w:r w:rsidRPr="00AD12FB">
        <w:rPr>
          <w:rFonts w:ascii="Times New Roman" w:hAnsi="Times New Roman"/>
          <w:color w:val="0D0D0D"/>
          <w:sz w:val="18"/>
          <w:szCs w:val="18"/>
        </w:rPr>
        <w:t>7. Karę pieniężną, o której mowa w ust. 6, nakłada Prezes Urzędu Zamówień Publicznych w drodze decyzji, do wysokości 20 000 000 zł.</w:t>
      </w:r>
    </w:p>
    <w:p w14:paraId="3253C03A" w14:textId="77777777" w:rsidR="00A64B6D" w:rsidRPr="00AD12FB" w:rsidRDefault="00A64B6D" w:rsidP="00A64B6D">
      <w:pPr>
        <w:jc w:val="both"/>
        <w:rPr>
          <w:rFonts w:ascii="Times New Roman" w:hAnsi="Times New Roman"/>
          <w:color w:val="0D0D0D"/>
          <w:sz w:val="18"/>
          <w:szCs w:val="18"/>
        </w:rPr>
      </w:pPr>
      <w:r w:rsidRPr="00AD12FB">
        <w:rPr>
          <w:rFonts w:ascii="Times New Roman" w:hAnsi="Times New Roman"/>
          <w:color w:val="0D0D0D"/>
          <w:sz w:val="18"/>
          <w:szCs w:val="18"/>
        </w:rPr>
        <w:t>8. W zakresie nieuregulowanym w ust. 6 i 7 do nakładania i wymierzania kary pieniężnej, o której mowa w ust. 6, stosuje się przepisy działu IVa ustawy z dnia 14 czerwca 1960 r. - Kodeks postępowania administracyjnego.</w:t>
      </w:r>
    </w:p>
    <w:p w14:paraId="5202454A" w14:textId="77777777" w:rsidR="00A64B6D" w:rsidRPr="00AD12FB" w:rsidRDefault="00A64B6D" w:rsidP="00A64B6D">
      <w:pPr>
        <w:jc w:val="both"/>
        <w:rPr>
          <w:rFonts w:ascii="Times New Roman" w:hAnsi="Times New Roman"/>
          <w:color w:val="0D0D0D"/>
          <w:sz w:val="18"/>
          <w:szCs w:val="18"/>
        </w:rPr>
      </w:pPr>
      <w:r w:rsidRPr="00AD12FB">
        <w:rPr>
          <w:rFonts w:ascii="Times New Roman" w:hAnsi="Times New Roman"/>
          <w:color w:val="0D0D0D"/>
          <w:sz w:val="18"/>
          <w:szCs w:val="18"/>
        </w:rPr>
        <w:t>9. Wpływy z kar pieniężnych, o których mowa w ust. 6, stanowią dochód budżetu państwa.</w:t>
      </w:r>
    </w:p>
    <w:p w14:paraId="56325D47" w14:textId="0D255D05" w:rsidR="00BB0AD3" w:rsidRDefault="00A64B6D" w:rsidP="00A64B6D">
      <w:pPr>
        <w:jc w:val="both"/>
      </w:pPr>
      <w:r w:rsidRPr="00AD12FB">
        <w:rPr>
          <w:rFonts w:ascii="Times New Roman" w:hAnsi="Times New Roman"/>
          <w:color w:val="0D0D0D"/>
          <w:sz w:val="18"/>
          <w:szCs w:val="18"/>
        </w:rPr>
        <w:t>10. Przepisy ust. 1-9 stosuje się do postępowania zmierzającego do udzielenia zamówienia publicznego o wartości mniejszej niż kwoty określone w art. 2 ust. 1 ustawy z dnia 11 września 2019 r. - Prawo zamówień publicznych lub z wyłączeniem stosowania tej ustawy.</w:t>
      </w:r>
    </w:p>
    <w:sectPr w:rsidR="00BB0AD3">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CD0B0" w14:textId="77777777" w:rsidR="00730468" w:rsidRDefault="00730468" w:rsidP="00A64B6D">
      <w:pPr>
        <w:spacing w:after="0" w:line="240" w:lineRule="auto"/>
      </w:pPr>
      <w:r>
        <w:separator/>
      </w:r>
    </w:p>
  </w:endnote>
  <w:endnote w:type="continuationSeparator" w:id="0">
    <w:p w14:paraId="46F29964" w14:textId="77777777" w:rsidR="00730468" w:rsidRDefault="00730468" w:rsidP="00A64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64E9F" w14:textId="77777777" w:rsidR="00730468" w:rsidRDefault="00730468" w:rsidP="00A64B6D">
      <w:pPr>
        <w:spacing w:after="0" w:line="240" w:lineRule="auto"/>
      </w:pPr>
      <w:r>
        <w:separator/>
      </w:r>
    </w:p>
  </w:footnote>
  <w:footnote w:type="continuationSeparator" w:id="0">
    <w:p w14:paraId="58FF463E" w14:textId="77777777" w:rsidR="00730468" w:rsidRDefault="00730468" w:rsidP="00A64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DA89" w14:textId="603CAB4C" w:rsidR="00A64B6D" w:rsidRDefault="00A64B6D" w:rsidP="00A64B6D">
    <w:pPr>
      <w:pStyle w:val="Nagwek"/>
      <w:tabs>
        <w:tab w:val="clear" w:pos="4536"/>
        <w:tab w:val="clear" w:pos="9072"/>
        <w:tab w:val="left" w:pos="642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212"/>
    <w:rsid w:val="001917AD"/>
    <w:rsid w:val="001F2E40"/>
    <w:rsid w:val="00240857"/>
    <w:rsid w:val="002E05F1"/>
    <w:rsid w:val="00303212"/>
    <w:rsid w:val="003F0E33"/>
    <w:rsid w:val="00441FE8"/>
    <w:rsid w:val="00631A49"/>
    <w:rsid w:val="0066460D"/>
    <w:rsid w:val="006D7AD3"/>
    <w:rsid w:val="00730468"/>
    <w:rsid w:val="0087462A"/>
    <w:rsid w:val="009640F7"/>
    <w:rsid w:val="00A64B6D"/>
    <w:rsid w:val="00AA2616"/>
    <w:rsid w:val="00BB0AD3"/>
    <w:rsid w:val="00E829E9"/>
    <w:rsid w:val="00FD46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16D50"/>
  <w15:chartTrackingRefBased/>
  <w15:docId w15:val="{047EB5D6-5AFB-412C-9376-06FD04E99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4B6D"/>
    <w:pPr>
      <w:spacing w:after="200" w:line="276" w:lineRule="auto"/>
    </w:pPr>
    <w:rPr>
      <w:rFonts w:ascii="Calibri" w:eastAsia="Calibri" w:hAnsi="Calibri" w:cs="Calibri"/>
      <w:kern w:val="0"/>
      <w14:ligatures w14:val="none"/>
    </w:rPr>
  </w:style>
  <w:style w:type="paragraph" w:styleId="Nagwek1">
    <w:name w:val="heading 1"/>
    <w:basedOn w:val="Normalny"/>
    <w:next w:val="Normalny"/>
    <w:link w:val="Nagwek1Znak"/>
    <w:uiPriority w:val="9"/>
    <w:qFormat/>
    <w:rsid w:val="0030321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30321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30321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303212"/>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Nagwek5">
    <w:name w:val="heading 5"/>
    <w:basedOn w:val="Normalny"/>
    <w:next w:val="Normalny"/>
    <w:link w:val="Nagwek5Znak"/>
    <w:uiPriority w:val="9"/>
    <w:semiHidden/>
    <w:unhideWhenUsed/>
    <w:qFormat/>
    <w:rsid w:val="00303212"/>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Nagwek6">
    <w:name w:val="heading 6"/>
    <w:basedOn w:val="Normalny"/>
    <w:next w:val="Normalny"/>
    <w:link w:val="Nagwek6Znak"/>
    <w:uiPriority w:val="9"/>
    <w:semiHidden/>
    <w:unhideWhenUsed/>
    <w:qFormat/>
    <w:rsid w:val="00303212"/>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Nagwek7">
    <w:name w:val="heading 7"/>
    <w:basedOn w:val="Normalny"/>
    <w:next w:val="Normalny"/>
    <w:link w:val="Nagwek7Znak"/>
    <w:uiPriority w:val="9"/>
    <w:semiHidden/>
    <w:unhideWhenUsed/>
    <w:qFormat/>
    <w:rsid w:val="00303212"/>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Nagwek8">
    <w:name w:val="heading 8"/>
    <w:basedOn w:val="Normalny"/>
    <w:next w:val="Normalny"/>
    <w:link w:val="Nagwek8Znak"/>
    <w:uiPriority w:val="9"/>
    <w:semiHidden/>
    <w:unhideWhenUsed/>
    <w:qFormat/>
    <w:rsid w:val="00303212"/>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Nagwek9">
    <w:name w:val="heading 9"/>
    <w:basedOn w:val="Normalny"/>
    <w:next w:val="Normalny"/>
    <w:link w:val="Nagwek9Znak"/>
    <w:uiPriority w:val="9"/>
    <w:semiHidden/>
    <w:unhideWhenUsed/>
    <w:qFormat/>
    <w:rsid w:val="00303212"/>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0321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0321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0321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0321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0321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0321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0321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0321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03212"/>
    <w:rPr>
      <w:rFonts w:eastAsiaTheme="majorEastAsia" w:cstheme="majorBidi"/>
      <w:color w:val="272727" w:themeColor="text1" w:themeTint="D8"/>
    </w:rPr>
  </w:style>
  <w:style w:type="paragraph" w:styleId="Tytu">
    <w:name w:val="Title"/>
    <w:basedOn w:val="Normalny"/>
    <w:next w:val="Normalny"/>
    <w:link w:val="TytuZnak"/>
    <w:uiPriority w:val="10"/>
    <w:qFormat/>
    <w:rsid w:val="0030321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30321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0321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30321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03212"/>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ytatZnak">
    <w:name w:val="Cytat Znak"/>
    <w:basedOn w:val="Domylnaczcionkaakapitu"/>
    <w:link w:val="Cytat"/>
    <w:uiPriority w:val="29"/>
    <w:rsid w:val="00303212"/>
    <w:rPr>
      <w:i/>
      <w:iCs/>
      <w:color w:val="404040" w:themeColor="text1" w:themeTint="BF"/>
    </w:rPr>
  </w:style>
  <w:style w:type="paragraph" w:styleId="Akapitzlist">
    <w:name w:val="List Paragraph"/>
    <w:aliases w:val="zwykły tekst,List Paragraph1,BulletC,normalny tekst,Obiekt"/>
    <w:basedOn w:val="Normalny"/>
    <w:link w:val="AkapitzlistZnak"/>
    <w:uiPriority w:val="34"/>
    <w:qFormat/>
    <w:rsid w:val="00303212"/>
    <w:pPr>
      <w:spacing w:after="160" w:line="259" w:lineRule="auto"/>
      <w:ind w:left="720"/>
      <w:contextualSpacing/>
    </w:pPr>
    <w:rPr>
      <w:rFonts w:asciiTheme="minorHAnsi" w:eastAsiaTheme="minorHAnsi" w:hAnsiTheme="minorHAnsi" w:cstheme="minorBidi"/>
      <w:kern w:val="2"/>
      <w14:ligatures w14:val="standardContextual"/>
    </w:rPr>
  </w:style>
  <w:style w:type="character" w:styleId="Wyrnienieintensywne">
    <w:name w:val="Intense Emphasis"/>
    <w:basedOn w:val="Domylnaczcionkaakapitu"/>
    <w:uiPriority w:val="21"/>
    <w:qFormat/>
    <w:rsid w:val="00303212"/>
    <w:rPr>
      <w:i/>
      <w:iCs/>
      <w:color w:val="2F5496" w:themeColor="accent1" w:themeShade="BF"/>
    </w:rPr>
  </w:style>
  <w:style w:type="paragraph" w:styleId="Cytatintensywny">
    <w:name w:val="Intense Quote"/>
    <w:basedOn w:val="Normalny"/>
    <w:next w:val="Normalny"/>
    <w:link w:val="CytatintensywnyZnak"/>
    <w:uiPriority w:val="30"/>
    <w:qFormat/>
    <w:rsid w:val="0030321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CytatintensywnyZnak">
    <w:name w:val="Cytat intensywny Znak"/>
    <w:basedOn w:val="Domylnaczcionkaakapitu"/>
    <w:link w:val="Cytatintensywny"/>
    <w:uiPriority w:val="30"/>
    <w:rsid w:val="00303212"/>
    <w:rPr>
      <w:i/>
      <w:iCs/>
      <w:color w:val="2F5496" w:themeColor="accent1" w:themeShade="BF"/>
    </w:rPr>
  </w:style>
  <w:style w:type="character" w:styleId="Odwoanieintensywne">
    <w:name w:val="Intense Reference"/>
    <w:basedOn w:val="Domylnaczcionkaakapitu"/>
    <w:uiPriority w:val="32"/>
    <w:qFormat/>
    <w:rsid w:val="00303212"/>
    <w:rPr>
      <w:b/>
      <w:bCs/>
      <w:smallCaps/>
      <w:color w:val="2F5496" w:themeColor="accent1" w:themeShade="BF"/>
      <w:spacing w:val="5"/>
    </w:rPr>
  </w:style>
  <w:style w:type="character" w:customStyle="1" w:styleId="AkapitzlistZnak">
    <w:name w:val="Akapit z listą Znak"/>
    <w:aliases w:val="zwykły tekst Znak,List Paragraph1 Znak,BulletC Znak,normalny tekst Znak,Obiekt Znak"/>
    <w:link w:val="Akapitzlist"/>
    <w:uiPriority w:val="34"/>
    <w:locked/>
    <w:rsid w:val="00A64B6D"/>
  </w:style>
  <w:style w:type="character" w:customStyle="1" w:styleId="apple-converted-space">
    <w:name w:val="apple-converted-space"/>
    <w:rsid w:val="00A64B6D"/>
  </w:style>
  <w:style w:type="paragraph" w:styleId="Nagwek">
    <w:name w:val="header"/>
    <w:basedOn w:val="Normalny"/>
    <w:link w:val="NagwekZnak"/>
    <w:uiPriority w:val="99"/>
    <w:unhideWhenUsed/>
    <w:rsid w:val="00A64B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64B6D"/>
    <w:rPr>
      <w:rFonts w:ascii="Calibri" w:eastAsia="Calibri" w:hAnsi="Calibri" w:cs="Calibri"/>
      <w:kern w:val="0"/>
      <w14:ligatures w14:val="none"/>
    </w:rPr>
  </w:style>
  <w:style w:type="paragraph" w:styleId="Stopka">
    <w:name w:val="footer"/>
    <w:basedOn w:val="Normalny"/>
    <w:link w:val="StopkaZnak"/>
    <w:uiPriority w:val="99"/>
    <w:unhideWhenUsed/>
    <w:rsid w:val="00A64B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64B6D"/>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850</Words>
  <Characters>5106</Characters>
  <Application>Microsoft Office Word</Application>
  <DocSecurity>0</DocSecurity>
  <Lines>42</Lines>
  <Paragraphs>11</Paragraphs>
  <ScaleCrop>false</ScaleCrop>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dc:creator>
  <cp:keywords/>
  <dc:description/>
  <cp:lastModifiedBy>Agnieszka Roguska</cp:lastModifiedBy>
  <cp:revision>6</cp:revision>
  <dcterms:created xsi:type="dcterms:W3CDTF">2025-10-24T07:08:00Z</dcterms:created>
  <dcterms:modified xsi:type="dcterms:W3CDTF">2025-11-20T15:48:00Z</dcterms:modified>
</cp:coreProperties>
</file>