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tbl>
      <w:tblPr>
        <w:tblW w:type="dxa" w:w="9072"/>
        <w:jc w:val="left"/>
        <w:tblInd w:type="dxa" w:w="0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89"/>
        <w:gridCol w:w="2202"/>
        <w:gridCol w:w="2198"/>
        <w:gridCol w:w="106"/>
        <w:gridCol w:w="2277"/>
      </w:tblGrid>
      <w:tr>
        <w:trPr>
          <w:cantSplit w:val="false"/>
        </w:trPr>
        <w:tc>
          <w:tcPr>
            <w:tcW w:type="dxa" w:w="2289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style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WÓJT GMINY DOBRE</w:t>
            </w:r>
          </w:p>
          <w:p>
            <w:pPr>
              <w:pStyle w:val="style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05-307 Dobre</w:t>
            </w:r>
          </w:p>
          <w:p>
            <w:pPr>
              <w:pStyle w:val="style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Ul. T. Kościuszki 1</w:t>
            </w:r>
          </w:p>
          <w:p>
            <w:pPr>
              <w:pStyle w:val="style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woj. mazowieckie</w:t>
            </w:r>
          </w:p>
        </w:tc>
        <w:tc>
          <w:tcPr>
            <w:tcW w:type="dxa" w:w="220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</w:t>
            </w:r>
            <w:r>
              <w:rPr>
                <w:rFonts w:cs="Times New Roman"/>
                <w:sz w:val="24"/>
                <w:szCs w:val="24"/>
              </w:rPr>
              <w:t xml:space="preserve">Dobre, dnia   02.01.2015r    </w:t>
            </w:r>
          </w:p>
        </w:tc>
        <w:tc>
          <w:tcPr>
            <w:tcW w:type="dxa" w:w="2198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style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style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style0"/>
              <w:ind w:hanging="0" w:left="540" w:right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style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type="dxa" w:w="106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type="dxa" w:w="2277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jc w:val="righ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289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GKI 271.11.2014</w:t>
            </w:r>
          </w:p>
          <w:p>
            <w:pPr>
              <w:pStyle w:val="style0"/>
              <w:widowControl w:val="false"/>
              <w:spacing w:after="240" w:before="0" w:line="360" w:lineRule="auto"/>
              <w:contextualSpacing w:val="false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type="dxa" w:w="220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type="dxa" w:w="2198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type="dxa" w:w="106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type="dxa" w:w="2277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0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style0"/>
        <w:rPr>
          <w:rFonts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cs="Times New Roman"/>
        </w:rPr>
        <w:t xml:space="preserve">Dotyczy: przetargu nieograniczonego </w:t>
      </w:r>
      <w:r>
        <w:rPr>
          <w:rFonts w:cs="Times New Roman"/>
          <w:bCs/>
        </w:rPr>
        <w:t>na zadanie pn</w:t>
      </w:r>
      <w:r>
        <w:rPr>
          <w:rFonts w:cs="Times New Roman"/>
          <w:bCs/>
          <w:sz w:val="24"/>
          <w:szCs w:val="24"/>
        </w:rPr>
        <w:t>:</w:t>
      </w:r>
      <w:r>
        <w:rPr>
          <w:rFonts w:cs="Times New Roman"/>
          <w:b/>
          <w:sz w:val="24"/>
          <w:szCs w:val="24"/>
        </w:rPr>
        <w:t xml:space="preserve"> Budowa sieci wodociągowej z przyłączami w miejscowości Wólka Kobylańska, Ruda Pniewnik gmina Dobre </w:t>
      </w:r>
      <w:r>
        <w:rPr>
          <w:rFonts w:cs="Times New Roman"/>
          <w:b/>
          <w:bCs/>
          <w:color w:val="000000"/>
          <w:sz w:val="24"/>
          <w:szCs w:val="24"/>
        </w:rPr>
        <w:t>NR ref. GKI 271.11.2014</w:t>
      </w:r>
    </w:p>
    <w:p>
      <w:pPr>
        <w:pStyle w:val="style0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style0"/>
        <w:spacing w:line="360" w:lineRule="auto"/>
        <w:ind w:firstLine="708" w:left="0" w:right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ZMIANA TREŚCI SPECYFIKACJI ISTOTNYCH WARUNKÓW ZAMÓWIENIA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Zamawiający – Gmina Dobre, </w:t>
      </w:r>
      <w:r>
        <w:rPr>
          <w:rFonts w:cs="Times New Roman" w:eastAsia="Calibri"/>
          <w:sz w:val="24"/>
          <w:szCs w:val="24"/>
        </w:rPr>
        <w:t>działając na podstawie art. 38 ust 6 w związku z art. 38 ust. 2 ustawy z dnia 29 stycznia 2004 r. - Prawo zamówień publicznych (Dz. U. z 2013 r. poz. 907, z późn. zm.), przekazuje treść zapyta</w:t>
      </w:r>
      <w:r>
        <w:rPr>
          <w:rFonts w:cs="Times New Roman"/>
          <w:sz w:val="24"/>
          <w:szCs w:val="24"/>
        </w:rPr>
        <w:t>ń</w:t>
      </w:r>
      <w:r>
        <w:rPr>
          <w:rFonts w:cs="Times New Roman" w:eastAsia="Calibri"/>
          <w:sz w:val="24"/>
          <w:szCs w:val="24"/>
        </w:rPr>
        <w:t xml:space="preserve"> wraz z wyjaśnieni</w:t>
      </w:r>
      <w:r>
        <w:rPr>
          <w:rFonts w:cs="Times New Roman"/>
          <w:sz w:val="24"/>
          <w:szCs w:val="24"/>
        </w:rPr>
        <w:t>ami</w:t>
      </w:r>
      <w:r>
        <w:rPr>
          <w:rFonts w:cs="Times New Roman" w:eastAsia="Times New Roman"/>
          <w:color w:val="000000"/>
          <w:sz w:val="24"/>
          <w:szCs w:val="24"/>
        </w:rPr>
        <w:t>: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b/>
          <w:color w:val="000000"/>
          <w:sz w:val="24"/>
          <w:szCs w:val="24"/>
        </w:rPr>
      </w:pPr>
      <w:r>
        <w:rPr>
          <w:rFonts w:cs="Times New Roman" w:eastAsia="Times New Roman"/>
          <w:b/>
          <w:color w:val="000000"/>
          <w:sz w:val="24"/>
          <w:szCs w:val="24"/>
        </w:rPr>
        <w:t>Pytanie nr 1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sz w:val="24"/>
          <w:szCs w:val="24"/>
        </w:rPr>
      </w:pPr>
      <w:r>
        <w:rPr>
          <w:rFonts w:cs="Times New Roman" w:eastAsia="Times New Roman"/>
          <w:sz w:val="24"/>
          <w:szCs w:val="24"/>
        </w:rPr>
        <w:t>W przedmiarze robót do w/w przetargu w pozycji nr 10 występuje zapis: "Odtworzenie nawierzchni z kruszywa łamanego - warstwa o gr. po zagęszczeniu 15 cm" w ilości 4662 m2. Natomiast w punkcie 8.4 opisu występuje zdanie: Odbudowę nawierzchni należy wykonać zgodnie z załączonymi rysunkami". Na załączonym rysunku (rys. nr 16) jest przedstawiona nawierzchnia z pospółki gr. 15 cm. W związku z tym zadajemy pytanie: Z czego ma być wykonane odtworzenie 4662 m2 nawierzchni? z kruszywa kamiennego czy pospółki?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i/>
          <w:sz w:val="24"/>
          <w:szCs w:val="24"/>
        </w:rPr>
      </w:pPr>
      <w:r>
        <w:rPr>
          <w:rFonts w:cs="Times New Roman" w:eastAsia="Times New Roman"/>
          <w:i/>
          <w:sz w:val="24"/>
          <w:szCs w:val="24"/>
        </w:rPr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i/>
          <w:sz w:val="24"/>
          <w:szCs w:val="24"/>
        </w:rPr>
      </w:pPr>
      <w:r>
        <w:rPr>
          <w:rFonts w:cs="Times New Roman" w:eastAsia="Times New Roman"/>
          <w:i/>
          <w:sz w:val="24"/>
          <w:szCs w:val="24"/>
        </w:rPr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sz w:val="24"/>
          <w:szCs w:val="24"/>
        </w:rPr>
      </w:pPr>
      <w:r>
        <w:rPr>
          <w:rFonts w:cs="Times New Roman" w:eastAsia="Times New Roman"/>
          <w:sz w:val="24"/>
          <w:szCs w:val="24"/>
        </w:rPr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sz w:val="24"/>
          <w:szCs w:val="24"/>
        </w:rPr>
      </w:pPr>
      <w:r>
        <w:rPr>
          <w:rFonts w:cs="Times New Roman" w:eastAsia="Times New Roman"/>
          <w:sz w:val="24"/>
          <w:szCs w:val="24"/>
        </w:rPr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b/>
          <w:sz w:val="24"/>
          <w:szCs w:val="24"/>
        </w:rPr>
      </w:pPr>
      <w:r>
        <w:rPr>
          <w:rFonts w:cs="Times New Roman" w:eastAsia="Times New Roman"/>
          <w:b/>
          <w:sz w:val="24"/>
          <w:szCs w:val="24"/>
        </w:rPr>
        <w:t>Odpowiedź pytanie nr 1</w:t>
      </w:r>
    </w:p>
    <w:p>
      <w:pPr>
        <w:pStyle w:val="style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Odtworzenie nawierzchni należy wykonać z kruszywa łamanego 0-31,5mm – warstwa o gr. </w:t>
      </w:r>
    </w:p>
    <w:p>
      <w:pPr>
        <w:pStyle w:val="style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zagęszczeniu 15cm  w ilości 4662m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 jak w przedmiarze robót. Kruszywo łamane zgodne z normą PN-EN 13043:2004 przeznaczone do stosowania w drogownictwie. </w:t>
      </w:r>
    </w:p>
    <w:p>
      <w:pPr>
        <w:pStyle w:val="style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 załączeniu  rysunek .</w:t>
      </w:r>
      <w:r>
        <w:rPr>
          <w:rFonts w:ascii="Times New Roman" w:hAnsi="Times New Roman"/>
          <w:sz w:val="24"/>
          <w:szCs w:val="24"/>
        </w:rPr>
        <w:br/>
      </w:r>
    </w:p>
    <w:p>
      <w:pPr>
        <w:pStyle w:val="style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Pytanie nr 2</w:t>
      </w:r>
    </w:p>
    <w:p>
      <w:pPr>
        <w:pStyle w:val="style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 ilość wodomierzy, zaworów zwrotnych i czerpalnych równa 14 kpl. (pozycje 60-64) kosztorysu jest właściwa?</w:t>
      </w:r>
    </w:p>
    <w:p>
      <w:pPr>
        <w:pStyle w:val="style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Odpowiedź na pytanie nr 2</w:t>
      </w:r>
    </w:p>
    <w:p>
      <w:pPr>
        <w:pStyle w:val="style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49"/>
        <w:spacing w:line="360" w:lineRule="auto"/>
        <w:ind w:hanging="0" w:left="0" w:right="0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Ilość wodomierzy, zaworów zwrotnych antyskażeniowych i czerpalnych w ilości 14kpl.  jest właściwa. Ponadto informujemy że w pozycji nr 52 jest również uwzględnione: wodomierz, zawory zwrotny antyskażeniowy typ EA, przelotowe i spustowy kpl. 26.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b/>
          <w:color w:val="000000"/>
          <w:sz w:val="24"/>
          <w:szCs w:val="24"/>
        </w:rPr>
      </w:pPr>
      <w:r>
        <w:rPr>
          <w:rFonts w:cs="Times New Roman" w:eastAsia="Times New Roman"/>
          <w:b/>
          <w:color w:val="000000"/>
          <w:sz w:val="24"/>
          <w:szCs w:val="24"/>
        </w:rPr>
        <w:t>Pytanie nr 3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</w:rPr>
        <w:t>W związku z panującymi warunkami zimowymi, może wystąpić taka sytuacja że: ziemia zamarznie na taką głębokość że nie będzie można kopać koparką, mogą spaść duże ilości śniegu, zgodnie z instrukcją montażu rur z tworzyw sztucznych PVC czy PE nie można prowadzić prac montażowych w temperaturach ujemnych. W chwili obecnej są to warunki przewidywalne i mogą występować w bardzo długich okresach. Czas wykonania inwestycji jest określony na trzy miesiące.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</w:rPr>
        <w:t>Pytanie: Czy w takiej sytuacji będzie przedłużony termin realizacji inwestycji o te dni w których nie będzie można kontynuować prac związanych z budową.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b/>
          <w:color w:val="000000"/>
          <w:sz w:val="24"/>
          <w:szCs w:val="24"/>
        </w:rPr>
      </w:pPr>
      <w:r>
        <w:rPr>
          <w:rFonts w:cs="Times New Roman" w:eastAsia="Times New Roman"/>
          <w:b/>
          <w:color w:val="000000"/>
          <w:sz w:val="24"/>
          <w:szCs w:val="24"/>
        </w:rPr>
        <w:t>Odpowiedź pytanie nr 3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</w:rPr>
        <w:t>Zamawiający nie przewiduje przedłużenia terminu  realizacji inwestycji.</w:t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</w:rPr>
      </w:r>
    </w:p>
    <w:p>
      <w:pPr>
        <w:pStyle w:val="style49"/>
        <w:spacing w:line="360" w:lineRule="auto"/>
        <w:ind w:hanging="0" w:left="0" w:right="0"/>
        <w:jc w:val="both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</w:rPr>
      </w:r>
    </w:p>
    <w:p>
      <w:pPr>
        <w:pStyle w:val="style0"/>
        <w:spacing w:line="100" w:lineRule="atLeast"/>
        <w:jc w:val="both"/>
        <w:rPr>
          <w:rFonts w:cs="Times New Roman" w:eastAsia="EUAlbertina-Regular-Identity-H"/>
          <w:sz w:val="24"/>
          <w:szCs w:val="24"/>
        </w:rPr>
      </w:pPr>
      <w:r>
        <w:rPr>
          <w:rFonts w:cs="Times New Roman" w:eastAsia="EUAlbertina-Regular-Identity-H"/>
          <w:sz w:val="24"/>
          <w:szCs w:val="24"/>
        </w:rPr>
      </w:r>
    </w:p>
    <w:p>
      <w:pPr>
        <w:pStyle w:val="style0"/>
        <w:spacing w:line="100" w:lineRule="atLeast"/>
        <w:jc w:val="both"/>
        <w:rPr>
          <w:rFonts w:cs="Times New Roman" w:eastAsia="EUAlbertina-Regular-Identity-H"/>
          <w:sz w:val="24"/>
          <w:szCs w:val="24"/>
        </w:rPr>
      </w:pPr>
      <w:r>
        <w:rPr>
          <w:rFonts w:cs="Times New Roman" w:eastAsia="EUAlbertina-Regular-Identity-H"/>
          <w:sz w:val="24"/>
          <w:szCs w:val="24"/>
        </w:rPr>
      </w:r>
    </w:p>
    <w:p>
      <w:pPr>
        <w:pStyle w:val="style0"/>
        <w:spacing w:line="100" w:lineRule="atLeast"/>
        <w:jc w:val="both"/>
        <w:rPr>
          <w:rFonts w:cs="Times New Roman" w:eastAsia="EUAlbertina-Regular-Identity-H"/>
          <w:sz w:val="24"/>
          <w:szCs w:val="24"/>
        </w:rPr>
      </w:pPr>
      <w:r>
        <w:rPr>
          <w:rFonts w:cs="Times New Roman" w:eastAsia="EUAlbertina-Regular-Identity-H"/>
          <w:sz w:val="24"/>
          <w:szCs w:val="24"/>
        </w:rPr>
      </w:r>
    </w:p>
    <w:p>
      <w:pPr>
        <w:pStyle w:val="style0"/>
        <w:spacing w:line="100" w:lineRule="atLeast"/>
        <w:jc w:val="both"/>
        <w:rPr>
          <w:rFonts w:cs="Times New Roman" w:eastAsia="EUAlbertina-Regular-Identity-H"/>
          <w:b/>
          <w:sz w:val="28"/>
          <w:szCs w:val="28"/>
        </w:rPr>
      </w:pPr>
      <w:r>
        <w:rPr>
          <w:rFonts w:cs="Times New Roman" w:eastAsia="EUAlbertina-Regular-Identity-H"/>
          <w:b/>
          <w:sz w:val="28"/>
          <w:szCs w:val="28"/>
        </w:rPr>
      </w:r>
    </w:p>
    <w:p>
      <w:pPr>
        <w:pStyle w:val="style0"/>
        <w:spacing w:line="100" w:lineRule="atLeast"/>
        <w:jc w:val="both"/>
        <w:rPr>
          <w:rFonts w:cs="Times New Roman" w:eastAsia="Times New Roman"/>
          <w:b/>
          <w:color w:val="000000"/>
          <w:sz w:val="28"/>
          <w:szCs w:val="28"/>
        </w:rPr>
      </w:pPr>
      <w:r>
        <w:rPr>
          <w:rFonts w:cs="Times New Roman" w:eastAsia="Times New Roman"/>
          <w:b/>
          <w:color w:val="000000"/>
          <w:sz w:val="28"/>
          <w:szCs w:val="28"/>
        </w:rPr>
        <w:t>Termin składania i otwarcia ofert ulega zmianie:</w:t>
      </w:r>
    </w:p>
    <w:p>
      <w:pPr>
        <w:pStyle w:val="style0"/>
        <w:spacing w:line="100" w:lineRule="atLeast"/>
        <w:jc w:val="both"/>
        <w:rPr>
          <w:rFonts w:cs="Times New Roman" w:eastAsia="Times New Roman"/>
          <w:b/>
          <w:color w:val="000000"/>
          <w:sz w:val="28"/>
          <w:szCs w:val="28"/>
        </w:rPr>
      </w:pPr>
      <w:r>
        <w:rPr>
          <w:rFonts w:cs="Times New Roman" w:eastAsia="Times New Roman"/>
          <w:b/>
          <w:color w:val="000000"/>
          <w:sz w:val="28"/>
          <w:szCs w:val="28"/>
        </w:rPr>
        <w:t>Termin składania ofert upływa w dniu 15.01.2015 r. o godzinie 12:00</w:t>
      </w:r>
    </w:p>
    <w:p>
      <w:pPr>
        <w:pStyle w:val="style0"/>
        <w:spacing w:line="100" w:lineRule="atLeast"/>
        <w:jc w:val="both"/>
        <w:rPr>
          <w:rFonts w:cs="Times New Roman" w:eastAsia="Times New Roman"/>
          <w:b/>
          <w:color w:val="000000"/>
          <w:sz w:val="28"/>
          <w:szCs w:val="28"/>
        </w:rPr>
      </w:pPr>
      <w:r>
        <w:rPr>
          <w:rFonts w:cs="Times New Roman" w:eastAsia="Times New Roman"/>
          <w:b/>
          <w:color w:val="000000"/>
          <w:sz w:val="28"/>
          <w:szCs w:val="28"/>
        </w:rPr>
        <w:t>Termin otwarcia ofert nastąpi w dniu 15.01.2015 r.o godzinie 12:30</w:t>
      </w:r>
    </w:p>
    <w:p>
      <w:pPr>
        <w:pStyle w:val="style0"/>
        <w:spacing w:line="100" w:lineRule="atLeast"/>
        <w:jc w:val="both"/>
        <w:rPr>
          <w:rFonts w:cs="Times New Roman" w:eastAsia="Times New Roman"/>
          <w:b/>
          <w:color w:val="000000"/>
          <w:sz w:val="28"/>
          <w:szCs w:val="28"/>
        </w:rPr>
      </w:pPr>
      <w:r>
        <w:rPr>
          <w:rFonts w:cs="Times New Roman" w:eastAsia="Times New Roman"/>
          <w:b/>
          <w:color w:val="000000"/>
          <w:sz w:val="28"/>
          <w:szCs w:val="28"/>
        </w:rPr>
      </w:r>
    </w:p>
    <w:p>
      <w:pPr>
        <w:pStyle w:val="style0"/>
        <w:spacing w:line="100" w:lineRule="atLeast"/>
        <w:jc w:val="both"/>
        <w:rPr>
          <w:rFonts w:cs="Times New Roman" w:eastAsia="EUAlbertina-Regular-Identity-H"/>
          <w:b/>
          <w:sz w:val="24"/>
          <w:szCs w:val="24"/>
        </w:rPr>
      </w:pPr>
      <w:r>
        <w:rPr>
          <w:rFonts w:cs="Times New Roman" w:eastAsia="EUAlbertina-Regular-Identity-H"/>
          <w:b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cs="Times New Roman" w:eastAsia="EUAlbertina-Regular-Identity-H"/>
          <w:b/>
          <w:sz w:val="24"/>
          <w:szCs w:val="24"/>
        </w:rPr>
        <w:t>WÓJT</w:t>
      </w:r>
    </w:p>
    <w:p>
      <w:pPr>
        <w:pStyle w:val="style48"/>
        <w:spacing w:after="280" w:before="280" w:line="360" w:lineRule="auto"/>
        <w:ind w:hanging="0" w:left="5103" w:right="0"/>
        <w:contextualSpacing w:val="false"/>
        <w:jc w:val="center"/>
        <w:rPr>
          <w:b/>
          <w:i/>
        </w:rPr>
      </w:pPr>
      <w:r>
        <w:rPr>
          <w:b/>
        </w:rPr>
        <w:t>-/-</w:t>
        <w:br/>
      </w:r>
      <w:r>
        <w:rPr>
          <w:b/>
          <w:i/>
        </w:rPr>
        <w:t>Tadeusz Gałązka</w:t>
      </w:r>
    </w:p>
    <w:p>
      <w:pPr>
        <w:pStyle w:val="style0"/>
        <w:spacing w:line="100" w:lineRule="atLeast"/>
        <w:jc w:val="both"/>
        <w:rPr/>
      </w:pPr>
      <w:r>
        <w:rPr/>
      </w:r>
    </w:p>
    <w:sectPr>
      <w:footerReference r:id="rId2" w:type="default"/>
      <w:type w:val="nextPage"/>
      <w:pgSz w:h="16838" w:w="11906"/>
      <w:pgMar w:bottom="1417" w:footer="708" w:gutter="0" w:header="0" w:left="1417" w:right="1417" w:top="141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Courier New">
    <w:charset w:val="ee"/>
    <w:family w:val="roman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tbl>
    <w:tblPr>
      <w:jc w:val="left"/>
      <w:tblInd w:type="dxa" w:w="0"/>
      <w:tblBorders>
        <w:top w:val="nil"/>
        <w:left w:val="nil"/>
        <w:bottom w:val="nil"/>
        <w:insideH w:val="nil"/>
        <w:right w:val="nil"/>
        <w:insideV w:val="nil"/>
      </w:tblBorders>
      <w:tblCellMar>
        <w:top w:type="dxa" w:w="0"/>
        <w:left w:type="dxa" w:w="108"/>
        <w:bottom w:type="dxa" w:w="0"/>
        <w:right w:type="dxa" w:w="108"/>
      </w:tblCellMar>
    </w:tblPr>
    <w:tblGrid>
      <w:gridCol w:w="3070"/>
      <w:gridCol w:w="3069"/>
      <w:gridCol w:w="3073"/>
    </w:tblGrid>
    <w:tr>
      <w:trPr>
        <w:cantSplit w:val="false"/>
      </w:trPr>
      <w:tc>
        <w:tcPr>
          <w:tcW w:type="dxa" w:w="3070"/>
          <w:tcBorders>
            <w:top w:val="nil"/>
            <w:left w:val="nil"/>
            <w:bottom w:val="nil"/>
            <w:right w:val="nil"/>
          </w:tcBorders>
          <w:shd w:fill="FFFFFF" w:val="clear"/>
          <w:vAlign w:val="center"/>
        </w:tcPr>
        <w:p>
          <w:pPr>
            <w:pStyle w:val="style3"/>
            <w:keepNext/>
            <w:keepLines/>
            <w:overflowPunct w:val="true"/>
            <w:spacing w:after="0" w:before="200" w:line="100" w:lineRule="atLeast"/>
            <w:contextualSpacing w:val="false"/>
            <w:textAlignment w:val="baseline"/>
            <w:rPr/>
          </w:pPr>
          <w:r>
            <w:rPr/>
            <w:drawing>
              <wp:inline distB="0" distL="0" distR="0" distT="0">
                <wp:extent cx="981075" cy="647700"/>
                <wp:effectExtent b="0" l="0" r="0" t="0"/>
                <wp:docPr descr="EU+EFS_P-kolor" id="0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EU+EFS_P-kolor" id="0" name="Picture"/>
                        <pic:cNvPicPr>
                          <a:picLocks noChangeArrowheads="1"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pStyle w:val="style0"/>
            <w:rPr/>
          </w:pPr>
          <w:r>
            <w:rPr/>
          </w:r>
        </w:p>
      </w:tc>
      <w:tc>
        <w:tcPr>
          <w:tcW w:type="dxa" w:w="3069"/>
          <w:tcBorders>
            <w:top w:val="nil"/>
            <w:left w:val="nil"/>
            <w:bottom w:val="nil"/>
            <w:right w:val="nil"/>
          </w:tcBorders>
          <w:shd w:fill="FFFFFF" w:val="clear"/>
          <w:vAlign w:val="center"/>
        </w:tcPr>
        <w:p>
          <w:pPr>
            <w:pStyle w:val="style0"/>
            <w:jc w:val="center"/>
            <w:rPr>
              <w:rFonts w:ascii="Calibri" w:hAnsi="Calibri"/>
              <w:b/>
            </w:rPr>
          </w:pPr>
          <w:r>
            <w:rPr>
              <w:rFonts w:ascii="Calibri" w:hAnsi="Calibri"/>
              <w:b/>
            </w:rPr>
          </w:r>
        </w:p>
      </w:tc>
      <w:tc>
        <w:tcPr>
          <w:tcW w:type="dxa" w:w="3073"/>
          <w:tcBorders>
            <w:top w:val="nil"/>
            <w:left w:val="nil"/>
            <w:bottom w:val="nil"/>
            <w:right w:val="nil"/>
          </w:tcBorders>
          <w:shd w:fill="FFFFFF" w:val="clear"/>
          <w:vAlign w:val="center"/>
        </w:tcPr>
        <w:p>
          <w:pPr>
            <w:pStyle w:val="style3"/>
            <w:spacing w:after="0" w:before="200"/>
            <w:contextualSpacing w:val="false"/>
            <w:jc w:val="right"/>
            <w:rPr/>
          </w:pPr>
          <w:r>
            <w:rPr/>
            <w:drawing>
              <wp:inline distB="0" distL="0" distR="0" distT="0">
                <wp:extent cx="1323975" cy="866775"/>
                <wp:effectExtent b="0" l="0" r="0" t="0"/>
                <wp:docPr descr="Logo_PROW"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Logo_PROW" id="1" name="Picture"/>
                        <pic:cNvPicPr>
                          <a:picLocks noChangeArrowheads="1"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pStyle w:val="style0"/>
            <w:rPr/>
          </w:pPr>
          <w:r>
            <w:rPr/>
          </w:r>
        </w:p>
      </w:tc>
    </w:tr>
  </w:tbl>
  <w:p>
    <w:pPr>
      <w:pStyle w:val="style41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0" w:before="0" w:line="100" w:lineRule="atLeast"/>
      <w:contextualSpacing w:val="false"/>
    </w:pPr>
    <w:rPr>
      <w:rFonts w:ascii="Times New Roman" w:cs="Times New Roman" w:eastAsia="Arial" w:hAnsi="Times New Roman"/>
      <w:color w:val="auto"/>
      <w:sz w:val="24"/>
      <w:szCs w:val="24"/>
      <w:lang w:bidi="ar-SA" w:eastAsia="ar-SA" w:val="pl-PL"/>
    </w:rPr>
  </w:style>
  <w:style w:styleId="style3" w:type="paragraph">
    <w:name w:val="Nagłówek 3"/>
    <w:basedOn w:val="style0"/>
    <w:next w:val="style3"/>
    <w:pPr>
      <w:keepNext/>
      <w:keepLines/>
      <w:overflowPunct w:val="true"/>
      <w:spacing w:after="0" w:before="200" w:line="100" w:lineRule="atLeast"/>
      <w:contextualSpacing w:val="false"/>
      <w:textAlignment w:val="baseline"/>
    </w:pPr>
    <w:rPr>
      <w:rFonts w:ascii="Cambria" w:cs="Times New Roman" w:eastAsia="Times New Roman" w:hAnsi="Cambria"/>
      <w:b/>
      <w:bCs/>
      <w:color w:val="4F81BD"/>
      <w:sz w:val="20"/>
      <w:szCs w:val="20"/>
    </w:rPr>
  </w:style>
  <w:style w:styleId="style15" w:type="character">
    <w:name w:val="Default Paragraph Font"/>
    <w:next w:val="style15"/>
    <w:rPr/>
  </w:style>
  <w:style w:styleId="style16" w:type="character">
    <w:name w:val="Wyróżnienie"/>
    <w:basedOn w:val="style15"/>
    <w:next w:val="style16"/>
    <w:rPr>
      <w:i/>
      <w:iCs w:val="false"/>
    </w:rPr>
  </w:style>
  <w:style w:styleId="style17" w:type="character">
    <w:name w:val="Stopka Znak"/>
    <w:basedOn w:val="style15"/>
    <w:next w:val="style17"/>
    <w:rPr>
      <w:rFonts w:ascii="Times New Roman" w:cs="Times New Roman" w:eastAsia="Times New Roman" w:hAnsi="Times New Roman"/>
      <w:color w:val="000000"/>
      <w:sz w:val="24"/>
      <w:szCs w:val="20"/>
      <w:lang w:eastAsia="en-US" w:val="en-US"/>
    </w:rPr>
  </w:style>
  <w:style w:styleId="style18" w:type="character">
    <w:name w:val="Tekst podstawowy wcięty Znak"/>
    <w:basedOn w:val="style15"/>
    <w:next w:val="style18"/>
    <w:rPr>
      <w:rFonts w:ascii="Times New Roman" w:cs="Times New Roman" w:eastAsia="Times New Roman" w:hAnsi="Times New Roman"/>
      <w:sz w:val="20"/>
      <w:szCs w:val="20"/>
    </w:rPr>
  </w:style>
  <w:style w:styleId="style19" w:type="character">
    <w:name w:val="Tekst podstawowy 2 Znak"/>
    <w:basedOn w:val="style15"/>
    <w:next w:val="style19"/>
    <w:rPr>
      <w:rFonts w:ascii="Times New Roman" w:cs="Times New Roman" w:eastAsia="Times New Roman" w:hAnsi="Times New Roman"/>
      <w:sz w:val="20"/>
      <w:szCs w:val="20"/>
    </w:rPr>
  </w:style>
  <w:style w:styleId="style20" w:type="character">
    <w:name w:val="Mocno wyróżniony"/>
    <w:basedOn w:val="style15"/>
    <w:next w:val="style20"/>
    <w:rPr>
      <w:b/>
      <w:bCs/>
    </w:rPr>
  </w:style>
  <w:style w:styleId="style21" w:type="character">
    <w:name w:val="Tekst podstawowy Znak"/>
    <w:basedOn w:val="style15"/>
    <w:next w:val="style21"/>
    <w:rPr/>
  </w:style>
  <w:style w:styleId="style22" w:type="character">
    <w:name w:val="Nagłówek 3 Znak"/>
    <w:basedOn w:val="style15"/>
    <w:next w:val="style22"/>
    <w:rPr>
      <w:rFonts w:ascii="Cambria" w:cs="Times New Roman" w:eastAsia="Times New Roman" w:hAnsi="Cambria"/>
      <w:b/>
      <w:bCs/>
      <w:color w:val="4F81BD"/>
      <w:sz w:val="20"/>
      <w:szCs w:val="20"/>
    </w:rPr>
  </w:style>
  <w:style w:styleId="style23" w:type="character">
    <w:name w:val="Tekst dymka Znak"/>
    <w:basedOn w:val="style15"/>
    <w:next w:val="style23"/>
    <w:rPr>
      <w:rFonts w:ascii="Tahoma" w:cs="Tahoma" w:hAnsi="Tahoma"/>
      <w:sz w:val="16"/>
      <w:szCs w:val="16"/>
    </w:rPr>
  </w:style>
  <w:style w:styleId="style24" w:type="character">
    <w:name w:val="Nagłówek Znak"/>
    <w:basedOn w:val="style15"/>
    <w:next w:val="style24"/>
    <w:rPr/>
  </w:style>
  <w:style w:styleId="style25" w:type="character">
    <w:name w:val="Normalny (Web) Znak"/>
    <w:basedOn w:val="style15"/>
    <w:next w:val="style25"/>
    <w:rPr>
      <w:rFonts w:ascii="Times New Roman" w:cs="Times New Roman" w:eastAsia="Times New Roman" w:hAnsi="Times New Roman"/>
      <w:sz w:val="24"/>
      <w:szCs w:val="24"/>
    </w:rPr>
  </w:style>
  <w:style w:styleId="style26" w:type="character">
    <w:name w:val="Tekst podstawowy wcięty 2 Znak"/>
    <w:basedOn w:val="style15"/>
    <w:next w:val="style26"/>
    <w:rPr>
      <w:rFonts w:cs="Calibri"/>
      <w:lang w:eastAsia="en-US"/>
    </w:rPr>
  </w:style>
  <w:style w:styleId="style27" w:type="character">
    <w:name w:val="marker"/>
    <w:basedOn w:val="style15"/>
    <w:next w:val="style27"/>
    <w:rPr/>
  </w:style>
  <w:style w:styleId="style28" w:type="character">
    <w:name w:val="color_stealblue"/>
    <w:basedOn w:val="style15"/>
    <w:next w:val="style28"/>
    <w:rPr/>
  </w:style>
  <w:style w:styleId="style29" w:type="character">
    <w:name w:val="color_crimson_red"/>
    <w:basedOn w:val="style15"/>
    <w:next w:val="style29"/>
    <w:rPr/>
  </w:style>
  <w:style w:styleId="style30" w:type="character">
    <w:name w:val="color_dark_red"/>
    <w:basedOn w:val="style15"/>
    <w:next w:val="style30"/>
    <w:rPr/>
  </w:style>
  <w:style w:styleId="style31" w:type="character">
    <w:name w:val="Akapit z listą Znak"/>
    <w:next w:val="style31"/>
    <w:rPr>
      <w:rFonts w:ascii="Calibri" w:hAnsi="Calibri"/>
    </w:rPr>
  </w:style>
  <w:style w:styleId="style32" w:type="character">
    <w:name w:val="HTML - wstępnie sformatowany Znak"/>
    <w:basedOn w:val="style15"/>
    <w:next w:val="style32"/>
    <w:rPr>
      <w:rFonts w:ascii="Courier New" w:cs="Courier New" w:eastAsia="Times New Roman" w:hAnsi="Courier New"/>
      <w:color w:val="000000"/>
      <w:sz w:val="20"/>
      <w:szCs w:val="20"/>
    </w:rPr>
  </w:style>
  <w:style w:styleId="style33" w:type="character">
    <w:name w:val="ListLabel 1"/>
    <w:next w:val="style33"/>
    <w:rPr>
      <w:b w:val="false"/>
      <w:i w:val="false"/>
      <w:sz w:val="24"/>
      <w:szCs w:val="24"/>
    </w:rPr>
  </w:style>
  <w:style w:styleId="style34" w:type="character">
    <w:name w:val="ListLabel 2"/>
    <w:next w:val="style34"/>
    <w:rPr>
      <w:i w:val="false"/>
    </w:rPr>
  </w:style>
  <w:style w:styleId="style35" w:type="character">
    <w:name w:val="ListLabel 3"/>
    <w:next w:val="style35"/>
    <w:rPr>
      <w:rFonts w:cs="A" w:eastAsia="Times New Roman"/>
    </w:rPr>
  </w:style>
  <w:style w:styleId="style36" w:type="paragraph">
    <w:name w:val="Nagłówek"/>
    <w:basedOn w:val="style0"/>
    <w:next w:val="style3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37" w:type="paragraph">
    <w:name w:val="Treść tekstu"/>
    <w:basedOn w:val="style0"/>
    <w:next w:val="style37"/>
    <w:pPr>
      <w:spacing w:after="120" w:before="0"/>
      <w:contextualSpacing w:val="false"/>
    </w:pPr>
    <w:rPr/>
  </w:style>
  <w:style w:styleId="style38" w:type="paragraph">
    <w:name w:val="Lista"/>
    <w:basedOn w:val="style37"/>
    <w:next w:val="style38"/>
    <w:pPr/>
    <w:rPr>
      <w:rFonts w:cs="Mangal"/>
    </w:rPr>
  </w:style>
  <w:style w:styleId="style39" w:type="paragraph">
    <w:name w:val="Podpis"/>
    <w:basedOn w:val="style0"/>
    <w:next w:val="style3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40" w:type="paragraph">
    <w:name w:val="Indeks"/>
    <w:basedOn w:val="style0"/>
    <w:next w:val="style40"/>
    <w:pPr>
      <w:suppressLineNumbers/>
    </w:pPr>
    <w:rPr>
      <w:rFonts w:cs="Mangal"/>
    </w:rPr>
  </w:style>
  <w:style w:styleId="style41" w:type="paragraph">
    <w:name w:val="Stopka"/>
    <w:basedOn w:val="style0"/>
    <w:next w:val="style41"/>
    <w:pPr>
      <w:tabs>
        <w:tab w:leader="none" w:pos="4320" w:val="center"/>
        <w:tab w:leader="none" w:pos="8640" w:val="right"/>
      </w:tabs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0"/>
      <w:sz w:val="24"/>
      <w:szCs w:val="20"/>
      <w:lang w:eastAsia="en-US" w:val="en-US"/>
    </w:rPr>
  </w:style>
  <w:style w:styleId="style42" w:type="paragraph">
    <w:name w:val="Wcięcie treści tekstu"/>
    <w:basedOn w:val="style0"/>
    <w:next w:val="style42"/>
    <w:pPr>
      <w:overflowPunct w:val="true"/>
      <w:spacing w:after="120" w:before="0" w:line="100" w:lineRule="atLeast"/>
      <w:ind w:hanging="0" w:left="283" w:right="0"/>
      <w:contextualSpacing w:val="false"/>
    </w:pPr>
    <w:rPr>
      <w:rFonts w:ascii="Times New Roman" w:cs="Times New Roman" w:eastAsia="Times New Roman" w:hAnsi="Times New Roman"/>
      <w:sz w:val="20"/>
      <w:szCs w:val="20"/>
    </w:rPr>
  </w:style>
  <w:style w:styleId="style43" w:type="paragraph">
    <w:name w:val="Body Text 2"/>
    <w:basedOn w:val="style0"/>
    <w:next w:val="style43"/>
    <w:pPr>
      <w:overflowPunct w:val="true"/>
      <w:spacing w:after="120" w:before="0" w:line="480" w:lineRule="auto"/>
      <w:contextualSpacing w:val="false"/>
    </w:pPr>
    <w:rPr>
      <w:rFonts w:ascii="Times New Roman" w:cs="Times New Roman" w:eastAsia="Times New Roman" w:hAnsi="Times New Roman"/>
      <w:sz w:val="20"/>
      <w:szCs w:val="20"/>
    </w:rPr>
  </w:style>
  <w:style w:styleId="style44" w:type="paragraph">
    <w:name w:val="No Spacing"/>
    <w:next w:val="style44"/>
    <w:pPr>
      <w:widowControl/>
      <w:suppressAutoHyphens w:val="true"/>
      <w:spacing w:after="0" w:before="0" w:line="100" w:lineRule="atLeast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pl-PL" w:val="pl-PL"/>
    </w:rPr>
  </w:style>
  <w:style w:styleId="style45" w:type="paragraph">
    <w:name w:val="Tekst podstawowy 21"/>
    <w:basedOn w:val="style0"/>
    <w:next w:val="style45"/>
    <w:pPr>
      <w:tabs>
        <w:tab w:leader="none" w:pos="720" w:val="left"/>
        <w:tab w:leader="none" w:pos="1267" w:val="left"/>
      </w:tabs>
      <w:overflowPunct w:val="true"/>
      <w:spacing w:after="0" w:before="0" w:line="100" w:lineRule="atLeast"/>
      <w:contextualSpacing w:val="false"/>
      <w:jc w:val="both"/>
    </w:pPr>
    <w:rPr>
      <w:rFonts w:ascii="Times New Roman" w:cs="Times New Roman" w:eastAsia="Times New Roman" w:hAnsi="Times New Roman"/>
      <w:szCs w:val="20"/>
    </w:rPr>
  </w:style>
  <w:style w:styleId="style46" w:type="paragraph">
    <w:name w:val="Balloon Text"/>
    <w:basedOn w:val="style0"/>
    <w:next w:val="style46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47" w:type="paragraph">
    <w:name w:val="Główka"/>
    <w:basedOn w:val="style0"/>
    <w:next w:val="style47"/>
    <w:pPr>
      <w:tabs>
        <w:tab w:leader="none" w:pos="4536" w:val="center"/>
        <w:tab w:leader="none" w:pos="9072" w:val="right"/>
      </w:tabs>
      <w:spacing w:after="0" w:before="0" w:line="100" w:lineRule="atLeast"/>
      <w:contextualSpacing w:val="false"/>
    </w:pPr>
    <w:rPr/>
  </w:style>
  <w:style w:styleId="style48" w:type="paragraph">
    <w:name w:val="Normal (Web)"/>
    <w:basedOn w:val="style0"/>
    <w:next w:val="style48"/>
    <w:pPr>
      <w:spacing w:after="280" w:before="280" w:line="100" w:lineRule="atLeast"/>
      <w:contextualSpacing w:val="false"/>
    </w:pPr>
    <w:rPr>
      <w:rFonts w:ascii="Times New Roman" w:cs="Times New Roman" w:eastAsia="Times New Roman" w:hAnsi="Times New Roman"/>
      <w:sz w:val="24"/>
      <w:szCs w:val="24"/>
    </w:rPr>
  </w:style>
  <w:style w:styleId="style49" w:type="paragraph">
    <w:name w:val="Body Text Indent 2"/>
    <w:basedOn w:val="style0"/>
    <w:next w:val="style49"/>
    <w:pPr>
      <w:spacing w:after="120" w:before="0" w:line="480" w:lineRule="auto"/>
      <w:ind w:hanging="0" w:left="283" w:right="0"/>
      <w:contextualSpacing w:val="false"/>
    </w:pPr>
    <w:rPr>
      <w:rFonts w:cs="Calibri"/>
      <w:lang w:eastAsia="en-US"/>
    </w:rPr>
  </w:style>
  <w:style w:styleId="style50" w:type="paragraph">
    <w:name w:val="lst_minus"/>
    <w:basedOn w:val="style0"/>
    <w:next w:val="style50"/>
    <w:pPr>
      <w:spacing w:after="0" w:before="0" w:line="100" w:lineRule="atLeast"/>
      <w:ind w:hanging="132" w:left="132" w:right="0"/>
      <w:contextualSpacing w:val="false"/>
    </w:pPr>
    <w:rPr>
      <w:rFonts w:ascii="Times New Roman" w:cs="Times New Roman" w:eastAsia="Times New Roman" w:hAnsi="Times New Roman"/>
      <w:sz w:val="24"/>
      <w:szCs w:val="24"/>
    </w:rPr>
  </w:style>
  <w:style w:styleId="style51" w:type="paragraph">
    <w:name w:val="List Paragraph"/>
    <w:basedOn w:val="style0"/>
    <w:next w:val="style51"/>
    <w:pPr>
      <w:spacing w:after="0" w:before="0" w:line="100" w:lineRule="atLeast"/>
      <w:ind w:hanging="0" w:left="720" w:right="0"/>
      <w:contextualSpacing w:val="false"/>
    </w:pPr>
    <w:rPr>
      <w:rFonts w:ascii="Calibri" w:hAnsi="Calibri"/>
    </w:rPr>
  </w:style>
  <w:style w:styleId="style52" w:type="paragraph">
    <w:name w:val="HTML Preformatted"/>
    <w:basedOn w:val="style0"/>
    <w:next w:val="style52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000000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2015-01-02T08:19:00Z</dcterms:created>
  <dc:creator>INWESTYCJE</dc:creator>
  <cp:lastModifiedBy>Aneta Ciszewska</cp:lastModifiedBy>
  <cp:lastPrinted>2015-01-02T08:21:00Z</cp:lastPrinted>
  <dcterms:modified xsi:type="dcterms:W3CDTF">2015-01-02T08:58:00Z</dcterms:modified>
  <cp:revision>9</cp:revision>
</cp:coreProperties>
</file>