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681" w:rsidRDefault="00304681" w:rsidP="00DA38C1">
      <w:pPr>
        <w:spacing w:after="0" w:line="240" w:lineRule="auto"/>
        <w:ind w:left="3100"/>
        <w:jc w:val="right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DA38C1" w:rsidRDefault="00DA38C1" w:rsidP="00DA38C1">
      <w:pPr>
        <w:spacing w:after="0" w:line="240" w:lineRule="auto"/>
        <w:ind w:left="3100"/>
        <w:jc w:val="right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Załącznik nr 1</w:t>
      </w:r>
    </w:p>
    <w:p w:rsidR="00DA38C1" w:rsidRDefault="00DA38C1" w:rsidP="00DA38C1">
      <w:pPr>
        <w:spacing w:after="0" w:line="240" w:lineRule="auto"/>
        <w:ind w:left="3100"/>
        <w:jc w:val="right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451C8A" w:rsidRDefault="00DA38C1" w:rsidP="00DA38C1">
      <w:pPr>
        <w:tabs>
          <w:tab w:val="left" w:pos="3480"/>
        </w:tabs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                              </w:t>
      </w:r>
    </w:p>
    <w:p w:rsidR="00451C8A" w:rsidRDefault="00451C8A" w:rsidP="00451C8A">
      <w:pPr>
        <w:spacing w:before="120" w:after="360"/>
        <w:jc w:val="both"/>
        <w:rPr>
          <w:b/>
          <w:bCs/>
          <w:sz w:val="24"/>
          <w:szCs w:val="24"/>
        </w:rPr>
      </w:pPr>
      <w:r w:rsidRPr="009304D5">
        <w:rPr>
          <w:b/>
          <w:color w:val="000000"/>
          <w:sz w:val="24"/>
          <w:szCs w:val="24"/>
        </w:rPr>
        <w:t xml:space="preserve">Zaprojektowanie, wykonanie i uruchomienie Systemu Oświetlenia </w:t>
      </w:r>
      <w:proofErr w:type="spellStart"/>
      <w:r w:rsidRPr="009304D5">
        <w:rPr>
          <w:b/>
          <w:color w:val="000000"/>
          <w:sz w:val="24"/>
          <w:szCs w:val="24"/>
        </w:rPr>
        <w:t>Led</w:t>
      </w:r>
      <w:proofErr w:type="spellEnd"/>
      <w:r w:rsidRPr="009304D5">
        <w:rPr>
          <w:b/>
          <w:color w:val="000000"/>
          <w:sz w:val="24"/>
          <w:szCs w:val="24"/>
        </w:rPr>
        <w:t xml:space="preserve"> Lamp Ulicznych w Gminie Dobre oraz zarządzanie energią w okresie realizacji przedsięwzięcia nie dłużej niż przez okres 10 lat oraz osiągnięcie i utrzymanie efektu energetycznego</w:t>
      </w:r>
      <w:r w:rsidRPr="009304D5">
        <w:rPr>
          <w:b/>
          <w:sz w:val="24"/>
          <w:szCs w:val="24"/>
        </w:rPr>
        <w:t>.</w:t>
      </w:r>
      <w:r w:rsidRPr="009304D5">
        <w:rPr>
          <w:sz w:val="24"/>
          <w:szCs w:val="24"/>
        </w:rPr>
        <w:t xml:space="preserve"> </w:t>
      </w:r>
      <w:r w:rsidRPr="009304D5">
        <w:rPr>
          <w:b/>
          <w:sz w:val="24"/>
          <w:szCs w:val="24"/>
        </w:rPr>
        <w:t>GKI 271.4.2016</w:t>
      </w:r>
      <w:r w:rsidRPr="009304D5">
        <w:rPr>
          <w:sz w:val="24"/>
          <w:szCs w:val="24"/>
        </w:rPr>
        <w:t xml:space="preserve"> </w:t>
      </w:r>
      <w:r w:rsidRPr="009304D5">
        <w:rPr>
          <w:b/>
          <w:bCs/>
          <w:sz w:val="24"/>
          <w:szCs w:val="24"/>
        </w:rPr>
        <w:t>w formule partnerstwa publiczno-prywatnego w systemie zaproje</w:t>
      </w:r>
      <w:r w:rsidR="008E63B4">
        <w:rPr>
          <w:b/>
          <w:bCs/>
          <w:sz w:val="24"/>
          <w:szCs w:val="24"/>
        </w:rPr>
        <w:t>ktuj i wybuduj</w:t>
      </w:r>
    </w:p>
    <w:p w:rsidR="00451C8A" w:rsidRDefault="00451C8A" w:rsidP="00451C8A">
      <w:pPr>
        <w:tabs>
          <w:tab w:val="left" w:pos="348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Opis potrzeb i wymagań Zamawiającego</w:t>
      </w:r>
    </w:p>
    <w:p w:rsidR="00451C8A" w:rsidRDefault="00451C8A" w:rsidP="00451C8A">
      <w:pPr>
        <w:tabs>
          <w:tab w:val="left" w:pos="3480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DA38C1" w:rsidRDefault="00DA38C1" w:rsidP="00DA38C1">
      <w:pPr>
        <w:spacing w:after="0"/>
        <w:ind w:left="284" w:right="2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Przedmiot zamówienia obejmuje wszystkie działania efektywne ekonomicznie, zmierzające do obniżenia zużycia energii elektrycznej lamp ulicznych poprzez wprowadzenie zintegrowanego systemu zarządzania energią w lampach, optymalizację parametrów pracy systemu.</w:t>
      </w:r>
    </w:p>
    <w:p w:rsidR="00DA38C1" w:rsidRDefault="00DA38C1" w:rsidP="00DA38C1">
      <w:pPr>
        <w:spacing w:after="0"/>
        <w:ind w:left="284" w:right="20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Zamówienie ma na celu wyłonienie Wykonawcy, który po zapoznaniu się z aktualnym stanem technicznym i funkcjonalnym instalacji oświetleniowych oraz bieżącymi wskaźnikami zużycia energii sfinansuje i zrealizuje wykorzystując w tym celu wykonany audyt energetyczny dla lamp ulicznych objętych przedsięwzięciem, w szczególności:</w:t>
      </w:r>
    </w:p>
    <w:p w:rsidR="00DA38C1" w:rsidRDefault="00DA38C1" w:rsidP="00DA38C1">
      <w:pPr>
        <w:numPr>
          <w:ilvl w:val="0"/>
          <w:numId w:val="1"/>
        </w:numPr>
        <w:spacing w:after="0"/>
        <w:ind w:left="740" w:hanging="456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Opracowanie audytu energetycznego i dokumentacji technicznej,</w:t>
      </w:r>
    </w:p>
    <w:p w:rsidR="00DA38C1" w:rsidRDefault="00DA38C1" w:rsidP="00DA38C1">
      <w:pPr>
        <w:numPr>
          <w:ilvl w:val="0"/>
          <w:numId w:val="1"/>
        </w:numPr>
        <w:spacing w:after="0"/>
        <w:ind w:left="740" w:hanging="456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Wykonanie modernizacji systemu oświetleniowego lamp wraz z aparaturą kontrolno-pomiarową i automatyką</w:t>
      </w:r>
    </w:p>
    <w:p w:rsidR="00DA38C1" w:rsidRDefault="00DA38C1" w:rsidP="00DA38C1">
      <w:pPr>
        <w:numPr>
          <w:ilvl w:val="0"/>
          <w:numId w:val="1"/>
        </w:numPr>
        <w:spacing w:after="0"/>
        <w:ind w:left="740" w:right="180" w:hanging="456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Wykonanie systemu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</w:rPr>
        <w:t>opomiarowania</w:t>
      </w:r>
      <w:proofErr w:type="spellEnd"/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w zakresie zużycia energii elektrycznej,</w:t>
      </w:r>
    </w:p>
    <w:p w:rsidR="00DA38C1" w:rsidRDefault="00DA38C1" w:rsidP="00DA38C1">
      <w:pPr>
        <w:numPr>
          <w:ilvl w:val="0"/>
          <w:numId w:val="1"/>
        </w:numPr>
        <w:spacing w:after="0"/>
        <w:ind w:left="740" w:right="180" w:hanging="456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Inne uzasadnione ekonomicznie prace wskazane przez Wykonawcę przynoszące oszczędności w  zużyciu energii,</w:t>
      </w:r>
    </w:p>
    <w:p w:rsidR="00DA38C1" w:rsidRDefault="00DA38C1" w:rsidP="00DA38C1">
      <w:pPr>
        <w:numPr>
          <w:ilvl w:val="0"/>
          <w:numId w:val="1"/>
        </w:numPr>
        <w:spacing w:after="0"/>
        <w:ind w:left="740" w:right="180" w:hanging="456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Opracowanie projektów technicznych rozbudowy oświetlenia wraz z uzyskaniem wszystkich niezbędnych pozwoleń,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zgód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, opinii, warunków itp.,</w:t>
      </w:r>
    </w:p>
    <w:p w:rsidR="00DA38C1" w:rsidRDefault="00DA38C1" w:rsidP="00DA38C1">
      <w:pPr>
        <w:numPr>
          <w:ilvl w:val="0"/>
          <w:numId w:val="1"/>
        </w:numPr>
        <w:spacing w:after="0"/>
        <w:ind w:left="740" w:right="180" w:hanging="456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Wykonanie rozbudowy oświetlenia w oparciu o </w:t>
      </w:r>
      <w:r w:rsidR="00942F8D">
        <w:rPr>
          <w:rFonts w:ascii="Times New Roman" w:eastAsia="Arial" w:hAnsi="Times New Roman" w:cs="Times New Roman"/>
          <w:sz w:val="24"/>
          <w:szCs w:val="24"/>
        </w:rPr>
        <w:t>zakres dokumentacji</w:t>
      </w:r>
      <w:r>
        <w:rPr>
          <w:rFonts w:ascii="Times New Roman" w:eastAsia="Arial" w:hAnsi="Times New Roman" w:cs="Times New Roman"/>
          <w:sz w:val="24"/>
          <w:szCs w:val="24"/>
        </w:rPr>
        <w:t>,</w:t>
      </w:r>
    </w:p>
    <w:p w:rsidR="00DA38C1" w:rsidRDefault="00DA38C1" w:rsidP="00DA38C1">
      <w:pPr>
        <w:numPr>
          <w:ilvl w:val="0"/>
          <w:numId w:val="1"/>
        </w:numPr>
        <w:spacing w:after="0"/>
        <w:ind w:left="740" w:hanging="456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Finansowanie modernizacji w okresie do 10 lat,</w:t>
      </w:r>
    </w:p>
    <w:p w:rsidR="00DA38C1" w:rsidRDefault="00DA38C1" w:rsidP="00DA38C1">
      <w:pPr>
        <w:numPr>
          <w:ilvl w:val="0"/>
          <w:numId w:val="1"/>
        </w:numPr>
        <w:spacing w:after="180"/>
        <w:ind w:left="740" w:hanging="456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Udzieli finansowej gwarancji uzyskania oszczędności.</w:t>
      </w:r>
    </w:p>
    <w:p w:rsidR="00DA38C1" w:rsidRDefault="00DA38C1" w:rsidP="00DA38C1">
      <w:pPr>
        <w:spacing w:after="324"/>
        <w:ind w:left="284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Wykonawca na podstawie swojej wiedzy i doświadczenia oraz w oparciu o aktualną charakterystykę energetyczną lamp, wymienionych w załączniku nr l, określi gwarantowane wskaźniki zużycia energii. Przedmiot zamówienia zostanie doprecyzowany i uzupełniony na etapie prowadzenia dialogu z Wykonawcami. Zamawiający oczekuje, że w trakcie negocjacji Wykonawcy - po zapoznaniu się z aktualnym systemem oświetlenia - zaproponują najbardziej optymalne rozwiązania, służące realizacji przedmiotu zamówienia, oraz gwarantowany stopień redukcji zużycia energii wynikający z przyjętych rozwiązań technicznych. Udzielenie przez Wykonawcę finansowej gwarancji uzyskania oszczędności.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Minimalne wstępne wymagane parametry techniczno-eksploatacyjne dla opraw zewnętrznych LED w ilości ok. 970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dla modernizacji oświetlenia oraz ok. 155 szt. dla rozbudowy oświetlenia: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oprawa zewnętrzna typu ulicznego: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Arial" w:hAnsi="Times New Roman" w:cs="Times New Roman"/>
          <w:sz w:val="24"/>
          <w:szCs w:val="24"/>
        </w:rPr>
        <w:lastRenderedPageBreak/>
        <w:t>-technologia wykonania gwarantująca żywotność źródła światła i zasilacza na poziomie min. 100 tys. godz. L80 przy Ta +25°</w:t>
      </w:r>
      <w:r>
        <w:rPr>
          <w:rFonts w:ascii="Times New Roman" w:eastAsia="Arial" w:hAnsi="Times New Roman" w:cs="Times New Roman"/>
          <w:sz w:val="24"/>
          <w:szCs w:val="24"/>
        </w:rPr>
        <w:br/>
        <w:t xml:space="preserve">-Skuteczność źródła światła LED nie gorsza niż 130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lm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/W</w:t>
      </w:r>
      <w:r>
        <w:rPr>
          <w:rFonts w:ascii="Times New Roman" w:eastAsia="Arial" w:hAnsi="Times New Roman" w:cs="Times New Roman"/>
          <w:sz w:val="24"/>
          <w:szCs w:val="24"/>
        </w:rPr>
        <w:br/>
        <w:t xml:space="preserve">-sprawność  luminescencyjna całej oprawy nie gorsza niż  100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lm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/W</w:t>
      </w:r>
      <w:r>
        <w:rPr>
          <w:rFonts w:ascii="Times New Roman" w:eastAsia="Arial" w:hAnsi="Times New Roman" w:cs="Times New Roman"/>
          <w:sz w:val="24"/>
          <w:szCs w:val="24"/>
        </w:rPr>
        <w:br/>
        <w:t>-Krzywa rozkładu światłości : asymetryczna , przystosowana do klas ME i S zgodnie z normą PN 13201</w:t>
      </w:r>
      <w:r>
        <w:rPr>
          <w:rFonts w:ascii="Times New Roman" w:eastAsia="Arial" w:hAnsi="Times New Roman" w:cs="Times New Roman"/>
          <w:sz w:val="24"/>
          <w:szCs w:val="24"/>
        </w:rPr>
        <w:br/>
        <w:t xml:space="preserve">-Osłona soczewek wykonana z szyby hartowanej o odporności nie gorszej niż IK08 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-Indeks koloru (CRI) Ra &gt; 70</w:t>
      </w:r>
      <w:r>
        <w:rPr>
          <w:rFonts w:ascii="Times New Roman" w:eastAsia="Arial" w:hAnsi="Times New Roman" w:cs="Times New Roman"/>
          <w:sz w:val="24"/>
          <w:szCs w:val="24"/>
        </w:rPr>
        <w:br/>
        <w:t>-Temperatura barwowa 4000K +/- 5%</w:t>
      </w:r>
      <w:r>
        <w:rPr>
          <w:rFonts w:ascii="Times New Roman" w:eastAsia="Arial" w:hAnsi="Times New Roman" w:cs="Times New Roman"/>
          <w:sz w:val="24"/>
          <w:szCs w:val="24"/>
        </w:rPr>
        <w:br/>
        <w:t xml:space="preserve">-wymagane napięcie wejściowe   w zakresach od 120 do 270 VAC </w:t>
      </w:r>
      <w:r>
        <w:rPr>
          <w:rFonts w:ascii="Times New Roman" w:eastAsia="Arial" w:hAnsi="Times New Roman" w:cs="Times New Roman"/>
          <w:sz w:val="24"/>
          <w:szCs w:val="24"/>
        </w:rPr>
        <w:br/>
        <w:t>-zakres częstotliwości napięcia zasilającego 50-60Hz</w:t>
      </w:r>
      <w:r>
        <w:rPr>
          <w:rFonts w:ascii="Times New Roman" w:eastAsia="Arial" w:hAnsi="Times New Roman" w:cs="Times New Roman"/>
          <w:sz w:val="24"/>
          <w:szCs w:val="24"/>
        </w:rPr>
        <w:br/>
        <w:t xml:space="preserve">-Nominalny współczynnik mocy (Power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Factor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) min. 0,93 i wyższy</w:t>
      </w:r>
      <w:r>
        <w:rPr>
          <w:rFonts w:ascii="Times New Roman" w:eastAsia="Arial" w:hAnsi="Times New Roman" w:cs="Times New Roman"/>
          <w:sz w:val="24"/>
          <w:szCs w:val="24"/>
        </w:rPr>
        <w:br/>
        <w:t>-temperatura pracy - 30°C do +35°C</w:t>
      </w:r>
      <w:r>
        <w:rPr>
          <w:rFonts w:ascii="Times New Roman" w:eastAsia="Arial" w:hAnsi="Times New Roman" w:cs="Times New Roman"/>
          <w:sz w:val="24"/>
          <w:szCs w:val="24"/>
        </w:rPr>
        <w:br/>
        <w:t xml:space="preserve">-Klasa szczelności min. IP 66 </w:t>
      </w:r>
      <w:r>
        <w:rPr>
          <w:rFonts w:ascii="Times New Roman" w:eastAsia="Arial" w:hAnsi="Times New Roman" w:cs="Times New Roman"/>
          <w:sz w:val="24"/>
          <w:szCs w:val="24"/>
        </w:rPr>
        <w:br/>
        <w:t>-odporność  oprawy na wiatr dla prędkości do  35 m/s</w:t>
      </w:r>
      <w:r>
        <w:rPr>
          <w:rFonts w:ascii="Times New Roman" w:eastAsia="Arial" w:hAnsi="Times New Roman" w:cs="Times New Roman"/>
          <w:sz w:val="24"/>
          <w:szCs w:val="24"/>
        </w:rPr>
        <w:br/>
        <w:t>- obudowa:  Korpus oprawy wykonany z ciśnieniowego odlewu aluminium stanowiącego jednocześnie radiator oprawy. Korpus nie może posiadać zewnętrznego radiatora w postaci użebrowania</w:t>
      </w:r>
      <w:r>
        <w:rPr>
          <w:rFonts w:ascii="Times New Roman" w:eastAsia="Arial" w:hAnsi="Times New Roman" w:cs="Times New Roman"/>
          <w:sz w:val="24"/>
          <w:szCs w:val="24"/>
        </w:rPr>
        <w:br/>
        <w:t xml:space="preserve">- łatwy dostęp do komory osprzętu elektrycznego wg normy EN 60598-2-3, 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dla zwiększenia bezpieczeństwa obsługi, oprawy powinny być wyposażone w rozłącznik odcinający zasilanie w momencie otwarcia pokrywy osprzętu,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wymagana  odporność oprawy na uderzenie nie mniej niż  IK08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- Do oferty należy załączyć pliki fotometryczne w formacie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eulumdat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lub IES  do projektowania w programach DIALUX lub RELUX lub równoważne oraz karty katalogowe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- System sterowania natężeniem światła oprawy – w układzie DALI. 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redukcja mocy musi odbywać się w sposób płynny przez zmniejszenie strumienia świetlnego wszystkich źródeł LED jednocześnie, a nie przez odłączenie zasilania poszczególnych modułów LED w jednej oprawie,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-Uchwyt montażowy musi umożliwiać montaż oprawy zarówno na wysięgniku jak i bezpośrednio na słupie o średnicy 48-60mm.Uchwyt montażowy musi zapewniać regulację położenia oprawy w zakresie -10° do +90° z krokiem nie mniejszym niż 5°. Uchwyt montażowy musi być wykonany z tego samego materiału, co korpus oprawy i być jej integralną częścią. Nie dopuszcza się stosowania zewnętrznych adapterów.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- oprawa musi posiadać zabezpieczenia  przed przepięciami o napięciu co  najmniej 10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kV</w:t>
      </w:r>
      <w:proofErr w:type="spellEnd"/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Lampy mają odpowiadać następującemu systemowi certyfikacji: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- Certyfikat CE w zakresie EMC i LVD oraz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RoHS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na lampę lub dokument równoważny, </w:t>
      </w:r>
    </w:p>
    <w:p w:rsidR="00DA38C1" w:rsidRDefault="00DA38C1" w:rsidP="00DA3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38C1" w:rsidRDefault="00DA38C1" w:rsidP="00DA3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szacunkowa ilość wysięgników do wymiany- do 50%</w:t>
      </w:r>
    </w:p>
    <w:p w:rsidR="00DA38C1" w:rsidRDefault="00DA38C1" w:rsidP="00DA3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szacunkowa ilość wymiany instalacji zasilających w słupach – do 100%</w:t>
      </w:r>
    </w:p>
    <w:p w:rsidR="00DA38C1" w:rsidRDefault="00DA38C1" w:rsidP="00DA3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naprawa  punków sterowania lamp ulicznych- 50%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 szacunkowa długość dobudowywanej linii oświetlenia ok. 4,890 km,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- szacunkowa ilość dobudowywanych słupów oświetleniowych – ok. 153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szt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,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- łączna ilość przewodu oświetleniowego na odcinkach linii dobudowywanej oraz na konstrukcjach linii 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energetycznych istniejących – ok. 13,200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km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DA38C1" w:rsidRDefault="00DA38C1" w:rsidP="00DA38C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Gwarancja na lampy i ich podzespoły - 10 lat</w:t>
      </w:r>
    </w:p>
    <w:p w:rsidR="00602DE7" w:rsidRDefault="00DA38C1" w:rsidP="00745357">
      <w:pPr>
        <w:spacing w:after="0" w:line="240" w:lineRule="auto"/>
      </w:pPr>
      <w:r>
        <w:rPr>
          <w:rFonts w:ascii="Times New Roman" w:eastAsia="Arial" w:hAnsi="Times New Roman" w:cs="Times New Roman"/>
          <w:sz w:val="24"/>
          <w:szCs w:val="24"/>
        </w:rPr>
        <w:t xml:space="preserve">Zamawiający   rozważa  możliwość wyboru lamp oświetleniowych  wyposażonych w urządzenia do przesyłu sygnału  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Wi-Fi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co umożliwi budowę publicznej sieci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Wi-Fi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. </w:t>
      </w:r>
    </w:p>
    <w:sectPr w:rsidR="00602DE7" w:rsidSect="00602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C23"/>
    <w:multiLevelType w:val="multilevel"/>
    <w:tmpl w:val="31DAEC5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38C1"/>
    <w:rsid w:val="00215463"/>
    <w:rsid w:val="00276C1C"/>
    <w:rsid w:val="00304681"/>
    <w:rsid w:val="003F6CF1"/>
    <w:rsid w:val="00451C8A"/>
    <w:rsid w:val="00481D59"/>
    <w:rsid w:val="00602DE7"/>
    <w:rsid w:val="00745357"/>
    <w:rsid w:val="008712A1"/>
    <w:rsid w:val="008E63B4"/>
    <w:rsid w:val="00942F8D"/>
    <w:rsid w:val="00AC07C3"/>
    <w:rsid w:val="00D15636"/>
    <w:rsid w:val="00DA38C1"/>
    <w:rsid w:val="00F601DF"/>
    <w:rsid w:val="00FA1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8C1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787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etomaka</dc:creator>
  <cp:lastModifiedBy>Aneta</cp:lastModifiedBy>
  <cp:revision>11</cp:revision>
  <dcterms:created xsi:type="dcterms:W3CDTF">2016-02-22T06:47:00Z</dcterms:created>
  <dcterms:modified xsi:type="dcterms:W3CDTF">2016-02-29T08:07:00Z</dcterms:modified>
</cp:coreProperties>
</file>