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DDF30" w14:textId="2AEDE056" w:rsidR="008501A1" w:rsidRPr="0065636C" w:rsidRDefault="008501A1" w:rsidP="008501A1">
      <w:pPr>
        <w:spacing w:after="0" w:line="240" w:lineRule="auto"/>
        <w:rPr>
          <w:rFonts w:eastAsia="Calibri" w:cstheme="minorHAnsi"/>
          <w:sz w:val="24"/>
          <w:szCs w:val="24"/>
          <w14:ligatures w14:val="none"/>
        </w:rPr>
      </w:pPr>
      <w:r w:rsidRPr="0065636C">
        <w:rPr>
          <w:rFonts w:eastAsia="Calibri" w:cstheme="minorHAnsi"/>
          <w:sz w:val="24"/>
          <w:szCs w:val="24"/>
          <w14:ligatures w14:val="none"/>
        </w:rPr>
        <w:t xml:space="preserve">BURMISTRZ MIASTA                                                      </w:t>
      </w:r>
      <w:r w:rsidRPr="0065636C">
        <w:rPr>
          <w:rFonts w:eastAsia="Calibri" w:cstheme="minorHAnsi"/>
          <w:sz w:val="24"/>
          <w:szCs w:val="24"/>
          <w14:ligatures w14:val="none"/>
        </w:rPr>
        <w:tab/>
        <w:t xml:space="preserve">              Dobre, dnia </w:t>
      </w:r>
      <w:r w:rsidR="0065636C" w:rsidRPr="0065636C">
        <w:rPr>
          <w:rFonts w:eastAsia="Calibri" w:cstheme="minorHAnsi"/>
          <w:sz w:val="24"/>
          <w:szCs w:val="24"/>
          <w14:ligatures w14:val="none"/>
        </w:rPr>
        <w:t>20</w:t>
      </w:r>
      <w:r w:rsidRPr="0065636C">
        <w:rPr>
          <w:rFonts w:eastAsia="Calibri" w:cstheme="minorHAnsi"/>
          <w:sz w:val="24"/>
          <w:szCs w:val="24"/>
          <w14:ligatures w14:val="none"/>
        </w:rPr>
        <w:t>.10.2026r.</w:t>
      </w:r>
    </w:p>
    <w:p w14:paraId="2488249B" w14:textId="77777777" w:rsidR="008501A1" w:rsidRPr="0065636C" w:rsidRDefault="008501A1" w:rsidP="008501A1">
      <w:pPr>
        <w:spacing w:after="0" w:line="240" w:lineRule="auto"/>
        <w:rPr>
          <w:rFonts w:eastAsia="Calibri" w:cstheme="minorHAnsi"/>
          <w:sz w:val="24"/>
          <w:szCs w:val="24"/>
          <w14:ligatures w14:val="none"/>
        </w:rPr>
      </w:pPr>
      <w:r w:rsidRPr="0065636C">
        <w:rPr>
          <w:rFonts w:eastAsia="Calibri" w:cstheme="minorHAnsi"/>
          <w:sz w:val="24"/>
          <w:szCs w:val="24"/>
          <w14:ligatures w14:val="none"/>
        </w:rPr>
        <w:t xml:space="preserve">I GMINY DOBRE  </w:t>
      </w:r>
    </w:p>
    <w:p w14:paraId="15F124EE" w14:textId="77777777" w:rsidR="008501A1" w:rsidRPr="0065636C" w:rsidRDefault="008501A1" w:rsidP="008501A1">
      <w:pPr>
        <w:spacing w:after="0" w:line="240" w:lineRule="auto"/>
        <w:rPr>
          <w:rFonts w:eastAsia="Calibri" w:cstheme="minorHAnsi"/>
          <w:sz w:val="24"/>
          <w:szCs w:val="24"/>
          <w14:ligatures w14:val="none"/>
        </w:rPr>
      </w:pPr>
      <w:r w:rsidRPr="0065636C">
        <w:rPr>
          <w:rFonts w:eastAsia="Calibri" w:cstheme="minorHAnsi"/>
          <w:sz w:val="24"/>
          <w:szCs w:val="24"/>
          <w14:ligatures w14:val="none"/>
        </w:rPr>
        <w:t>05-307 Dobre</w:t>
      </w:r>
    </w:p>
    <w:p w14:paraId="5F227109" w14:textId="77777777" w:rsidR="008501A1" w:rsidRPr="0065636C" w:rsidRDefault="008501A1" w:rsidP="008501A1">
      <w:pPr>
        <w:spacing w:after="0" w:line="240" w:lineRule="auto"/>
        <w:rPr>
          <w:rFonts w:eastAsia="Calibri" w:cstheme="minorHAnsi"/>
          <w:sz w:val="24"/>
          <w:szCs w:val="24"/>
          <w14:ligatures w14:val="none"/>
        </w:rPr>
      </w:pPr>
      <w:r w:rsidRPr="0065636C">
        <w:rPr>
          <w:rFonts w:eastAsia="Calibri" w:cstheme="minorHAnsi"/>
          <w:sz w:val="24"/>
          <w:szCs w:val="24"/>
          <w14:ligatures w14:val="none"/>
        </w:rPr>
        <w:t>ul. Tadeusza Kościuszki 1</w:t>
      </w:r>
    </w:p>
    <w:p w14:paraId="47575769" w14:textId="77777777" w:rsidR="008501A1" w:rsidRPr="0065636C" w:rsidRDefault="008501A1" w:rsidP="008501A1">
      <w:pPr>
        <w:spacing w:after="0" w:line="240" w:lineRule="auto"/>
        <w:rPr>
          <w:rFonts w:eastAsia="Calibri" w:cstheme="minorHAnsi"/>
          <w:sz w:val="24"/>
          <w:szCs w:val="24"/>
          <w14:ligatures w14:val="none"/>
        </w:rPr>
      </w:pPr>
      <w:r w:rsidRPr="0065636C">
        <w:rPr>
          <w:rFonts w:eastAsia="Calibri" w:cstheme="minorHAnsi"/>
          <w:sz w:val="24"/>
          <w:szCs w:val="24"/>
          <w14:ligatures w14:val="none"/>
        </w:rPr>
        <w:t>woj. mazowieckie</w:t>
      </w:r>
    </w:p>
    <w:p w14:paraId="7CC13B9F" w14:textId="77777777" w:rsidR="008501A1" w:rsidRPr="0065636C" w:rsidRDefault="008501A1" w:rsidP="008501A1">
      <w:pPr>
        <w:spacing w:after="0" w:line="240" w:lineRule="auto"/>
        <w:rPr>
          <w:rFonts w:eastAsia="Calibri" w:cstheme="minorHAnsi"/>
          <w:sz w:val="24"/>
          <w:szCs w:val="24"/>
          <w14:ligatures w14:val="none"/>
        </w:rPr>
      </w:pPr>
      <w:r w:rsidRPr="0065636C">
        <w:rPr>
          <w:rFonts w:eastAsia="Calibri" w:cstheme="minorHAnsi"/>
          <w:sz w:val="24"/>
          <w:szCs w:val="24"/>
          <w14:ligatures w14:val="none"/>
        </w:rPr>
        <w:t xml:space="preserve">                                                                                                                         </w:t>
      </w:r>
    </w:p>
    <w:p w14:paraId="1C1932DB" w14:textId="77777777" w:rsidR="008501A1" w:rsidRPr="0065636C" w:rsidRDefault="008501A1" w:rsidP="008501A1">
      <w:pPr>
        <w:spacing w:after="0" w:line="240" w:lineRule="auto"/>
        <w:rPr>
          <w:rFonts w:eastAsia="Calibri" w:cstheme="minorHAnsi"/>
          <w:sz w:val="24"/>
          <w:szCs w:val="24"/>
          <w14:ligatures w14:val="none"/>
        </w:rPr>
      </w:pPr>
    </w:p>
    <w:p w14:paraId="0DC0CB36" w14:textId="77777777" w:rsidR="008501A1" w:rsidRPr="0065636C" w:rsidRDefault="008501A1" w:rsidP="008501A1">
      <w:pPr>
        <w:spacing w:after="0" w:line="240" w:lineRule="auto"/>
        <w:rPr>
          <w:rFonts w:eastAsia="Calibri" w:cstheme="minorHAnsi"/>
          <w:bCs/>
          <w:sz w:val="24"/>
          <w:szCs w:val="24"/>
          <w14:ligatures w14:val="none"/>
        </w:rPr>
      </w:pPr>
      <w:r w:rsidRPr="0065636C">
        <w:rPr>
          <w:rFonts w:eastAsia="Times New Roman" w:cstheme="minorHAnsi"/>
          <w:bCs/>
          <w:color w:val="000000"/>
          <w:kern w:val="0"/>
          <w:sz w:val="24"/>
          <w:szCs w:val="24"/>
          <w:lang w:eastAsia="zh-CN"/>
          <w14:ligatures w14:val="none"/>
        </w:rPr>
        <w:t>GKI 271.2.5.2026</w:t>
      </w:r>
    </w:p>
    <w:p w14:paraId="38408D51" w14:textId="77777777" w:rsidR="008501A1" w:rsidRPr="0065636C" w:rsidRDefault="008501A1" w:rsidP="008501A1">
      <w:pPr>
        <w:spacing w:after="0" w:line="240" w:lineRule="auto"/>
        <w:jc w:val="center"/>
        <w:rPr>
          <w:rFonts w:eastAsia="Calibri" w:cstheme="minorHAnsi"/>
          <w:b/>
          <w:sz w:val="24"/>
          <w:szCs w:val="24"/>
          <w14:ligatures w14:val="none"/>
        </w:rPr>
      </w:pPr>
    </w:p>
    <w:p w14:paraId="1F7A26D5" w14:textId="77777777" w:rsidR="008501A1" w:rsidRPr="0065636C" w:rsidRDefault="008501A1" w:rsidP="008501A1">
      <w:pPr>
        <w:spacing w:after="0" w:line="240" w:lineRule="auto"/>
        <w:jc w:val="center"/>
        <w:rPr>
          <w:rFonts w:eastAsia="Calibri" w:cstheme="minorHAnsi"/>
          <w:b/>
          <w:sz w:val="24"/>
          <w:szCs w:val="24"/>
          <w14:ligatures w14:val="none"/>
        </w:rPr>
      </w:pPr>
      <w:r w:rsidRPr="0065636C">
        <w:rPr>
          <w:rFonts w:eastAsia="Calibri" w:cstheme="minorHAnsi"/>
          <w:b/>
          <w:sz w:val="24"/>
          <w:szCs w:val="24"/>
          <w14:ligatures w14:val="none"/>
        </w:rPr>
        <w:t xml:space="preserve">WYJAŚNIENIE TREŚCI SWZ </w:t>
      </w:r>
    </w:p>
    <w:p w14:paraId="2C307B05" w14:textId="77777777" w:rsidR="008501A1" w:rsidRPr="0065636C" w:rsidRDefault="008501A1" w:rsidP="008501A1">
      <w:pPr>
        <w:spacing w:after="0" w:line="240" w:lineRule="auto"/>
        <w:jc w:val="both"/>
        <w:rPr>
          <w:rFonts w:eastAsia="Calibri" w:cstheme="minorHAnsi"/>
          <w:b/>
          <w:sz w:val="24"/>
          <w:szCs w:val="24"/>
          <w14:ligatures w14:val="none"/>
        </w:rPr>
      </w:pPr>
    </w:p>
    <w:p w14:paraId="5AEC26C9" w14:textId="77777777" w:rsidR="008501A1" w:rsidRPr="0065636C" w:rsidRDefault="008501A1" w:rsidP="008501A1">
      <w:pPr>
        <w:spacing w:line="276" w:lineRule="auto"/>
        <w:rPr>
          <w:rFonts w:eastAsia="Times New Roman" w:cstheme="minorHAnsi"/>
          <w:b/>
          <w:color w:val="000000"/>
          <w:kern w:val="0"/>
          <w:sz w:val="24"/>
          <w:szCs w:val="24"/>
          <w:lang w:eastAsia="zh-CN"/>
          <w14:ligatures w14:val="none"/>
        </w:rPr>
      </w:pPr>
      <w:r w:rsidRPr="0065636C">
        <w:rPr>
          <w:rFonts w:eastAsia="Arial Unicode MS" w:cstheme="minorHAnsi"/>
          <w:sz w:val="24"/>
          <w:szCs w:val="24"/>
          <w:lang w:eastAsia="zh-CN"/>
          <w14:ligatures w14:val="none"/>
        </w:rPr>
        <w:t>Dotyczy: postępowania o udzielenie zamówienia klasycznego w trybie podstawowym                              na zadanie:</w:t>
      </w:r>
      <w:r w:rsidRPr="0065636C">
        <w:rPr>
          <w:rFonts w:eastAsia="Arial Unicode MS" w:cstheme="minorHAnsi"/>
          <w:b/>
          <w:sz w:val="24"/>
          <w:szCs w:val="24"/>
          <w:lang w:eastAsia="zh-CN"/>
          <w14:ligatures w14:val="none"/>
        </w:rPr>
        <w:t xml:space="preserve"> </w:t>
      </w:r>
      <w:bookmarkStart w:id="0" w:name="_Hlk191385478"/>
      <w:r w:rsidRPr="0065636C">
        <w:rPr>
          <w:rFonts w:eastAsia="Times New Roman" w:cstheme="minorHAnsi"/>
          <w:b/>
          <w:bCs/>
          <w:color w:val="000000"/>
          <w:kern w:val="0"/>
          <w:sz w:val="24"/>
          <w:szCs w:val="24"/>
          <w:lang w:eastAsia="pl-PL"/>
          <w14:ligatures w14:val="none"/>
        </w:rPr>
        <w:t>"Dostawa i montaż tężni solankowej w przestrzeni publicznej z nasadzeniem roślin” </w:t>
      </w:r>
      <w:r w:rsidRPr="0065636C">
        <w:rPr>
          <w:rFonts w:eastAsia="Times New Roman" w:cstheme="minorHAnsi"/>
          <w:b/>
          <w:color w:val="000000"/>
          <w:kern w:val="0"/>
          <w:sz w:val="24"/>
          <w:szCs w:val="24"/>
          <w:lang w:eastAsia="zh-CN"/>
          <w14:ligatures w14:val="none"/>
        </w:rPr>
        <w:t>- GKI 271.2.5.2026</w:t>
      </w:r>
    </w:p>
    <w:bookmarkEnd w:id="0"/>
    <w:p w14:paraId="7402AA33" w14:textId="77777777" w:rsidR="008501A1" w:rsidRPr="0065636C" w:rsidRDefault="008501A1" w:rsidP="008501A1">
      <w:pPr>
        <w:spacing w:line="252" w:lineRule="auto"/>
        <w:jc w:val="both"/>
        <w:rPr>
          <w:rFonts w:eastAsia="Calibri" w:cstheme="minorHAnsi"/>
          <w:bCs/>
          <w:sz w:val="24"/>
          <w:szCs w:val="24"/>
          <w:shd w:val="clear" w:color="auto" w:fill="FFFFFF"/>
          <w:lang w:eastAsia="ar-SA"/>
          <w14:ligatures w14:val="none"/>
        </w:rPr>
      </w:pPr>
      <w:r w:rsidRPr="0065636C">
        <w:rPr>
          <w:rFonts w:eastAsia="Calibri" w:cstheme="minorHAnsi"/>
          <w:kern w:val="0"/>
          <w:sz w:val="24"/>
          <w:szCs w:val="24"/>
          <w14:ligatures w14:val="none"/>
        </w:rPr>
        <w:t>Działając na podstawie art. 284 ust. 3 i 6 ustawy z dnia 11 września 2019 roku - Prawo zamówień publicznych (tj. Dz. U. z 2024 r., poz. 1320 ze zm.) poniżej przedstawiam treść pytania, jakie wpłynęło do Zamawiającego wraz z odpowiedzią i wy</w:t>
      </w:r>
      <w:r w:rsidRPr="0065636C">
        <w:rPr>
          <w:rFonts w:eastAsia="Calibri" w:cstheme="minorHAnsi"/>
          <w:bCs/>
          <w:sz w:val="24"/>
          <w:szCs w:val="24"/>
          <w:shd w:val="clear" w:color="auto" w:fill="FFFFFF"/>
          <w:lang w:eastAsia="ar-SA"/>
          <w14:ligatures w14:val="none"/>
        </w:rPr>
        <w:t>jaśnieniem:</w:t>
      </w:r>
    </w:p>
    <w:p w14:paraId="5C1B3864" w14:textId="519CC924" w:rsidR="0065636C" w:rsidRPr="0065636C" w:rsidRDefault="008501A1" w:rsidP="0065636C">
      <w:pPr>
        <w:jc w:val="both"/>
        <w:rPr>
          <w:rFonts w:cstheme="minorHAnsi"/>
          <w:sz w:val="24"/>
          <w:szCs w:val="24"/>
        </w:rPr>
      </w:pPr>
      <w:r w:rsidRPr="0065636C">
        <w:rPr>
          <w:rFonts w:cstheme="minorHAnsi"/>
          <w:sz w:val="24"/>
          <w:szCs w:val="24"/>
        </w:rPr>
        <w:t>Pytanie nr 1.</w:t>
      </w:r>
      <w:r w:rsidR="0065636C" w:rsidRPr="0065636C">
        <w:rPr>
          <w:rFonts w:cstheme="minorHAnsi"/>
          <w:sz w:val="24"/>
          <w:szCs w:val="24"/>
        </w:rPr>
        <w:t xml:space="preserve"> Czy Zamawiający dopuszcza rozwiązanie zamienne - tężnia soniczna z altaną? Mgiełka solankowa roztaczająca się po całej przestrzeni wokół rdzenia bez stosownej oprawy w postaci altany, jest zwyczajnie wywiewana w eter. Tym samym obiekt jest nieskuteczny i nie spełnia swojej podstawowej roli. Żeby mgiełka dotarła do korzystających z tężni sonicznej niezbędne jest zabudowanie przestrzeni wokół rdzenia. Zaproponowane przez Państwa rozwiązanie posiada wady m. in. mgiełka wypuszczana przez dysze jest narażona na rozwiewanie co uniemożliwia skuteczną inhalację przez kuracjuszy. Zaproponowane rozwiązanie osiąga zdecydowanie lepszy efekt względem zaproponowanej formy. Cały zamysł działania takiej tężni pozostaje bez zmian. Taka tężnia rezonansowo-soniczna pracuje                                   w trybach dostosowanych do potrzeb indywidualnych klienta-sesje inhalacyjne zaprogramowane tj. korzystający przed wejściem do inhalatorium uruchamiają przycisk start w celu uruchomienia cyklu inhalacji przez określony czas 7-10 minut, po czym należy ponownie nacisnąć przycisk start. Jest to ogromna oszczędność dla Inwestora, ponieważ obiekt nie uruchamia się bez osób korzystających. Tężnia dzięki zastosowaniu takiej technologii jest całoroczna.</w:t>
      </w:r>
    </w:p>
    <w:p w14:paraId="71D4C630" w14:textId="492C1FF7" w:rsidR="001464AB" w:rsidRPr="001464AB" w:rsidRDefault="008501A1" w:rsidP="001464AB">
      <w:pPr>
        <w:jc w:val="both"/>
        <w:rPr>
          <w:rFonts w:ascii="Times New Roman" w:eastAsia="Times New Roman" w:hAnsi="Times New Roman" w:cs="Times New Roman"/>
          <w:kern w:val="0"/>
          <w:sz w:val="24"/>
          <w:szCs w:val="24"/>
          <w:lang w:eastAsia="pl-PL"/>
          <w14:ligatures w14:val="none"/>
        </w:rPr>
      </w:pPr>
      <w:r w:rsidRPr="0065636C">
        <w:rPr>
          <w:rFonts w:cstheme="minorHAnsi"/>
          <w:sz w:val="24"/>
          <w:szCs w:val="24"/>
        </w:rPr>
        <w:t xml:space="preserve">Odpowiedź: </w:t>
      </w:r>
      <w:r w:rsidR="001464AB" w:rsidRPr="001464AB">
        <w:rPr>
          <w:rFonts w:ascii="Times New Roman" w:eastAsia="Times New Roman" w:hAnsi="Times New Roman" w:cs="Times New Roman"/>
          <w:kern w:val="0"/>
          <w:sz w:val="24"/>
          <w:szCs w:val="24"/>
          <w:lang w:eastAsia="pl-PL"/>
          <w14:ligatures w14:val="none"/>
        </w:rPr>
        <w:t xml:space="preserve">Nie, Zamawiający nie dopuszcza takiego rozwiązania. Rozwiązanie użyte </w:t>
      </w:r>
      <w:r w:rsidR="001464AB">
        <w:rPr>
          <w:rFonts w:ascii="Times New Roman" w:eastAsia="Times New Roman" w:hAnsi="Times New Roman" w:cs="Times New Roman"/>
          <w:kern w:val="0"/>
          <w:sz w:val="24"/>
          <w:szCs w:val="24"/>
          <w:lang w:eastAsia="pl-PL"/>
          <w14:ligatures w14:val="none"/>
        </w:rPr>
        <w:t xml:space="preserve">                     </w:t>
      </w:r>
      <w:r w:rsidR="001464AB" w:rsidRPr="001464AB">
        <w:rPr>
          <w:rFonts w:ascii="Times New Roman" w:eastAsia="Times New Roman" w:hAnsi="Times New Roman" w:cs="Times New Roman"/>
          <w:kern w:val="0"/>
          <w:sz w:val="24"/>
          <w:szCs w:val="24"/>
          <w:lang w:eastAsia="pl-PL"/>
          <w14:ligatures w14:val="none"/>
        </w:rPr>
        <w:t>w dokumentacji projektowej zostało zawarte w pozwoleniu na budowę. Inwestycja b</w:t>
      </w:r>
      <w:r w:rsidR="000F271A">
        <w:rPr>
          <w:rFonts w:ascii="Times New Roman" w:eastAsia="Times New Roman" w:hAnsi="Times New Roman" w:cs="Times New Roman"/>
          <w:kern w:val="0"/>
          <w:sz w:val="24"/>
          <w:szCs w:val="24"/>
          <w:lang w:eastAsia="pl-PL"/>
          <w14:ligatures w14:val="none"/>
        </w:rPr>
        <w:t>ę</w:t>
      </w:r>
      <w:r w:rsidR="001464AB" w:rsidRPr="001464AB">
        <w:rPr>
          <w:rFonts w:ascii="Times New Roman" w:eastAsia="Times New Roman" w:hAnsi="Times New Roman" w:cs="Times New Roman"/>
          <w:kern w:val="0"/>
          <w:sz w:val="24"/>
          <w:szCs w:val="24"/>
          <w:lang w:eastAsia="pl-PL"/>
          <w14:ligatures w14:val="none"/>
        </w:rPr>
        <w:t>dzie wymagała wykonania inwentaryzacji powykonawczej i złożenia jej w Starostwie. Dlatego wykonanie musi być zgodne z projektem. Ponadto nie zaprojektowano doprowadzenia prądu, ponieważ w projekcie użyto tężni solankowej solarnej. </w:t>
      </w:r>
    </w:p>
    <w:p w14:paraId="56935AD6" w14:textId="246A0E60" w:rsidR="008501A1" w:rsidRPr="0065636C" w:rsidRDefault="008501A1" w:rsidP="008501A1">
      <w:pPr>
        <w:spacing w:line="252" w:lineRule="auto"/>
        <w:jc w:val="both"/>
        <w:rPr>
          <w:rFonts w:eastAsia="Calibri" w:cstheme="minorHAnsi"/>
          <w:b/>
          <w:kern w:val="0"/>
          <w:sz w:val="24"/>
          <w:szCs w:val="24"/>
          <w14:ligatures w14:val="none"/>
        </w:rPr>
      </w:pPr>
      <w:r w:rsidRPr="0065636C">
        <w:rPr>
          <w:rFonts w:eastAsia="Calibri" w:cstheme="minorHAnsi"/>
          <w:b/>
          <w:kern w:val="0"/>
          <w:sz w:val="24"/>
          <w:szCs w:val="24"/>
          <w14:ligatures w14:val="none"/>
        </w:rPr>
        <w:t xml:space="preserve">Zamawiający  </w:t>
      </w:r>
      <w:r w:rsidR="0065636C" w:rsidRPr="0065636C">
        <w:rPr>
          <w:rFonts w:eastAsia="Calibri" w:cstheme="minorHAnsi"/>
          <w:b/>
          <w:kern w:val="0"/>
          <w:sz w:val="24"/>
          <w:szCs w:val="24"/>
          <w14:ligatures w14:val="none"/>
        </w:rPr>
        <w:t xml:space="preserve">nie </w:t>
      </w:r>
      <w:r w:rsidRPr="0065636C">
        <w:rPr>
          <w:rFonts w:eastAsia="Calibri" w:cstheme="minorHAnsi"/>
          <w:b/>
          <w:kern w:val="0"/>
          <w:sz w:val="24"/>
          <w:szCs w:val="24"/>
          <w14:ligatures w14:val="none"/>
        </w:rPr>
        <w:t>zmienia terminu składania i otwarcia ofert.</w:t>
      </w:r>
    </w:p>
    <w:p w14:paraId="13C487E6" w14:textId="706C8C96" w:rsidR="008501A1" w:rsidRPr="0065636C" w:rsidRDefault="008501A1" w:rsidP="0065636C">
      <w:pPr>
        <w:spacing w:line="360" w:lineRule="auto"/>
        <w:contextualSpacing/>
        <w:jc w:val="both"/>
        <w:rPr>
          <w:rFonts w:eastAsia="Calibri" w:cstheme="minorHAnsi"/>
          <w:kern w:val="0"/>
          <w:sz w:val="24"/>
          <w:szCs w:val="24"/>
          <w14:ligatures w14:val="none"/>
        </w:rPr>
      </w:pPr>
      <w:r w:rsidRPr="0065636C">
        <w:rPr>
          <w:rFonts w:eastAsia="Calibri" w:cstheme="minorHAnsi"/>
          <w:b/>
          <w:kern w:val="0"/>
          <w:sz w:val="24"/>
          <w:szCs w:val="24"/>
          <w:u w:val="single"/>
          <w14:ligatures w14:val="none"/>
        </w:rPr>
        <w:t xml:space="preserve"> </w:t>
      </w:r>
    </w:p>
    <w:p w14:paraId="759E48D6" w14:textId="77777777" w:rsidR="008501A1" w:rsidRPr="0065636C" w:rsidRDefault="008501A1" w:rsidP="008501A1">
      <w:pPr>
        <w:spacing w:line="252" w:lineRule="auto"/>
        <w:ind w:left="4956" w:firstLine="708"/>
        <w:rPr>
          <w:rFonts w:eastAsia="Calibri" w:cstheme="minorHAnsi"/>
          <w:kern w:val="0"/>
          <w:sz w:val="24"/>
          <w:szCs w:val="24"/>
          <w14:ligatures w14:val="none"/>
        </w:rPr>
      </w:pPr>
      <w:r w:rsidRPr="0065636C">
        <w:rPr>
          <w:rFonts w:eastAsia="Calibri" w:cstheme="minorHAnsi"/>
          <w:kern w:val="0"/>
          <w:sz w:val="24"/>
          <w:szCs w:val="24"/>
          <w14:ligatures w14:val="none"/>
        </w:rPr>
        <w:t xml:space="preserve">             Burmistrz </w:t>
      </w:r>
    </w:p>
    <w:p w14:paraId="73842E1D" w14:textId="3F88BCB0" w:rsidR="00CB1CB4" w:rsidRPr="0065636C" w:rsidRDefault="008501A1" w:rsidP="001464AB">
      <w:pPr>
        <w:spacing w:line="252" w:lineRule="auto"/>
        <w:ind w:left="4956" w:firstLine="708"/>
        <w:rPr>
          <w:rFonts w:cstheme="minorHAnsi"/>
          <w:sz w:val="24"/>
          <w:szCs w:val="24"/>
        </w:rPr>
      </w:pPr>
      <w:r w:rsidRPr="0065636C">
        <w:rPr>
          <w:rFonts w:eastAsia="Calibri" w:cstheme="minorHAnsi"/>
          <w:kern w:val="0"/>
          <w:sz w:val="24"/>
          <w:szCs w:val="24"/>
          <w14:ligatures w14:val="none"/>
        </w:rPr>
        <w:t xml:space="preserve">     Kamil Wichrowski </w:t>
      </w:r>
    </w:p>
    <w:sectPr w:rsidR="00CB1CB4" w:rsidRPr="0065636C" w:rsidSect="008501A1">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9E5"/>
    <w:rsid w:val="000F271A"/>
    <w:rsid w:val="001464AB"/>
    <w:rsid w:val="0028563D"/>
    <w:rsid w:val="002E408C"/>
    <w:rsid w:val="0065636C"/>
    <w:rsid w:val="008501A1"/>
    <w:rsid w:val="0086390A"/>
    <w:rsid w:val="008D75C2"/>
    <w:rsid w:val="009C25B1"/>
    <w:rsid w:val="00BE0209"/>
    <w:rsid w:val="00CB1CB4"/>
    <w:rsid w:val="00E919E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CBC10"/>
  <w15:chartTrackingRefBased/>
  <w15:docId w15:val="{EB4E86B0-FBB1-4BC1-9ADF-D05DC7DE2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501A1"/>
  </w:style>
  <w:style w:type="paragraph" w:styleId="Nagwek1">
    <w:name w:val="heading 1"/>
    <w:basedOn w:val="Normalny"/>
    <w:next w:val="Normalny"/>
    <w:link w:val="Nagwek1Znak"/>
    <w:uiPriority w:val="9"/>
    <w:qFormat/>
    <w:rsid w:val="00E91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91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919E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919E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919E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919E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919E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919E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919E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919E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919E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919E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919E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919E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919E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919E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919E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919E5"/>
    <w:rPr>
      <w:rFonts w:eastAsiaTheme="majorEastAsia" w:cstheme="majorBidi"/>
      <w:color w:val="272727" w:themeColor="text1" w:themeTint="D8"/>
    </w:rPr>
  </w:style>
  <w:style w:type="paragraph" w:styleId="Tytu">
    <w:name w:val="Title"/>
    <w:basedOn w:val="Normalny"/>
    <w:next w:val="Normalny"/>
    <w:link w:val="TytuZnak"/>
    <w:uiPriority w:val="10"/>
    <w:qFormat/>
    <w:rsid w:val="00E919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919E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919E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919E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919E5"/>
    <w:pPr>
      <w:spacing w:before="160"/>
      <w:jc w:val="center"/>
    </w:pPr>
    <w:rPr>
      <w:i/>
      <w:iCs/>
      <w:color w:val="404040" w:themeColor="text1" w:themeTint="BF"/>
    </w:rPr>
  </w:style>
  <w:style w:type="character" w:customStyle="1" w:styleId="CytatZnak">
    <w:name w:val="Cytat Znak"/>
    <w:basedOn w:val="Domylnaczcionkaakapitu"/>
    <w:link w:val="Cytat"/>
    <w:uiPriority w:val="29"/>
    <w:rsid w:val="00E919E5"/>
    <w:rPr>
      <w:i/>
      <w:iCs/>
      <w:color w:val="404040" w:themeColor="text1" w:themeTint="BF"/>
    </w:rPr>
  </w:style>
  <w:style w:type="paragraph" w:styleId="Akapitzlist">
    <w:name w:val="List Paragraph"/>
    <w:basedOn w:val="Normalny"/>
    <w:uiPriority w:val="34"/>
    <w:qFormat/>
    <w:rsid w:val="00E919E5"/>
    <w:pPr>
      <w:ind w:left="720"/>
      <w:contextualSpacing/>
    </w:pPr>
  </w:style>
  <w:style w:type="character" w:styleId="Wyrnienieintensywne">
    <w:name w:val="Intense Emphasis"/>
    <w:basedOn w:val="Domylnaczcionkaakapitu"/>
    <w:uiPriority w:val="21"/>
    <w:qFormat/>
    <w:rsid w:val="00E919E5"/>
    <w:rPr>
      <w:i/>
      <w:iCs/>
      <w:color w:val="2F5496" w:themeColor="accent1" w:themeShade="BF"/>
    </w:rPr>
  </w:style>
  <w:style w:type="paragraph" w:styleId="Cytatintensywny">
    <w:name w:val="Intense Quote"/>
    <w:basedOn w:val="Normalny"/>
    <w:next w:val="Normalny"/>
    <w:link w:val="CytatintensywnyZnak"/>
    <w:uiPriority w:val="30"/>
    <w:qFormat/>
    <w:rsid w:val="00E91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919E5"/>
    <w:rPr>
      <w:i/>
      <w:iCs/>
      <w:color w:val="2F5496" w:themeColor="accent1" w:themeShade="BF"/>
    </w:rPr>
  </w:style>
  <w:style w:type="character" w:styleId="Odwoanieintensywne">
    <w:name w:val="Intense Reference"/>
    <w:basedOn w:val="Domylnaczcionkaakapitu"/>
    <w:uiPriority w:val="32"/>
    <w:qFormat/>
    <w:rsid w:val="00E919E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372</Words>
  <Characters>2235</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Ciszewska</dc:creator>
  <cp:keywords/>
  <dc:description/>
  <cp:lastModifiedBy>Aneta Ciszewska</cp:lastModifiedBy>
  <cp:revision>5</cp:revision>
  <dcterms:created xsi:type="dcterms:W3CDTF">2026-10-20T07:25:00Z</dcterms:created>
  <dcterms:modified xsi:type="dcterms:W3CDTF">2026-10-20T08:17:00Z</dcterms:modified>
</cp:coreProperties>
</file>