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77777777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C0298A3" w14:textId="2032C111" w:rsidR="00AA1083" w:rsidRPr="006C6DDD" w:rsidRDefault="006353D1" w:rsidP="00AA108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p.n.:</w:t>
      </w:r>
      <w:r w:rsidRPr="006C6DDD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105401646"/>
      <w:r w:rsidR="00AA1083" w:rsidRPr="006C6DDD">
        <w:rPr>
          <w:rFonts w:ascii="Times New Roman" w:hAnsi="Times New Roman"/>
          <w:b/>
          <w:bCs/>
          <w:sz w:val="24"/>
          <w:szCs w:val="24"/>
        </w:rPr>
        <w:t>„</w:t>
      </w:r>
      <w:r w:rsidR="004B7C99" w:rsidRPr="006C6DDD">
        <w:rPr>
          <w:rFonts w:ascii="Times New Roman" w:hAnsi="Times New Roman"/>
          <w:b/>
          <w:bCs/>
          <w:sz w:val="24"/>
          <w:szCs w:val="24"/>
        </w:rPr>
        <w:t xml:space="preserve">Budowa </w:t>
      </w:r>
      <w:r w:rsidR="006C6DDD">
        <w:rPr>
          <w:rFonts w:ascii="Times New Roman" w:hAnsi="Times New Roman"/>
          <w:b/>
          <w:bCs/>
          <w:sz w:val="24"/>
          <w:szCs w:val="24"/>
        </w:rPr>
        <w:t xml:space="preserve">linii elektroenergetycznej 0,23 kV </w:t>
      </w:r>
      <w:r w:rsidR="004B7C99" w:rsidRPr="006C6DDD">
        <w:rPr>
          <w:rFonts w:ascii="Times New Roman" w:hAnsi="Times New Roman"/>
          <w:b/>
          <w:bCs/>
          <w:sz w:val="24"/>
          <w:szCs w:val="24"/>
        </w:rPr>
        <w:t>oświetlenia drogowego w mie</w:t>
      </w:r>
      <w:r w:rsidR="006D196A" w:rsidRPr="006C6DDD">
        <w:rPr>
          <w:rFonts w:ascii="Times New Roman" w:hAnsi="Times New Roman"/>
          <w:b/>
          <w:bCs/>
          <w:sz w:val="24"/>
          <w:szCs w:val="24"/>
        </w:rPr>
        <w:t>j</w:t>
      </w:r>
      <w:r w:rsidR="004B7C99" w:rsidRPr="006C6DDD">
        <w:rPr>
          <w:rFonts w:ascii="Times New Roman" w:hAnsi="Times New Roman"/>
          <w:b/>
          <w:bCs/>
          <w:sz w:val="24"/>
          <w:szCs w:val="24"/>
        </w:rPr>
        <w:t xml:space="preserve">scowości </w:t>
      </w:r>
      <w:r w:rsidR="006C6DDD">
        <w:rPr>
          <w:rFonts w:ascii="Times New Roman" w:hAnsi="Times New Roman"/>
          <w:b/>
          <w:bCs/>
          <w:sz w:val="24"/>
          <w:szCs w:val="24"/>
        </w:rPr>
        <w:t>Wólka Kobylańska ul. Długa, 05-307 Dobre</w:t>
      </w:r>
      <w:r w:rsidR="00AA1083" w:rsidRPr="006C6DDD">
        <w:rPr>
          <w:rFonts w:ascii="Times New Roman" w:hAnsi="Times New Roman"/>
          <w:b/>
          <w:bCs/>
          <w:sz w:val="24"/>
          <w:szCs w:val="24"/>
        </w:rPr>
        <w:t>.”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jednostką dominującą w rozumieniu art. 3 ust. 1 pkt 37 ustawy z dnia 29 września 1994 r. o rachunkowości (Dz.U. 2021, poz. 217, 2105 i 2106) jest podmiot </w:t>
      </w:r>
      <w:r w:rsidRPr="006C6DDD">
        <w:rPr>
          <w:rFonts w:ascii="Times New Roman" w:hAnsi="Times New Roman"/>
          <w:iCs/>
          <w:sz w:val="24"/>
          <w:szCs w:val="24"/>
        </w:rPr>
        <w:lastRenderedPageBreak/>
        <w:t>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C2172"/>
    <w:rsid w:val="00144DB0"/>
    <w:rsid w:val="004B7C99"/>
    <w:rsid w:val="00554028"/>
    <w:rsid w:val="006353D1"/>
    <w:rsid w:val="006C6DDD"/>
    <w:rsid w:val="006D196A"/>
    <w:rsid w:val="00911A40"/>
    <w:rsid w:val="00A61F4B"/>
    <w:rsid w:val="00AA1083"/>
    <w:rsid w:val="00D0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476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6</cp:revision>
  <cp:lastPrinted>2022-08-08T11:49:00Z</cp:lastPrinted>
  <dcterms:created xsi:type="dcterms:W3CDTF">2022-08-01T07:45:00Z</dcterms:created>
  <dcterms:modified xsi:type="dcterms:W3CDTF">2023-02-06T10:41:00Z</dcterms:modified>
</cp:coreProperties>
</file>