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media/image2.jpe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tbl>
      <w:tblPr>
        <w:tblW w:type="dxa" w:w="9072"/>
        <w:jc w:val="left"/>
        <w:tblInd w:type="dxa" w:w="142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072"/>
      </w:tblGrid>
      <w:tr>
        <w:trPr>
          <w:cantSplit w:val="false"/>
        </w:trPr>
        <w:tc>
          <w:tcPr>
            <w:tcW w:type="dxa" w:w="9072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style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WÓJT GMINY DOBRE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Dobre, dnia 13 lutego  2015r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>
            <w:pPr>
              <w:pStyle w:val="style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05-307 Dobre</w:t>
            </w:r>
          </w:p>
          <w:p>
            <w:pPr>
              <w:pStyle w:val="style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Ul. T. Kościuszki 1</w:t>
            </w:r>
          </w:p>
          <w:p>
            <w:pPr>
              <w:pStyle w:val="style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woj. mazowieckie</w:t>
            </w:r>
          </w:p>
          <w:p>
            <w:pPr>
              <w:pStyle w:val="style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style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style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style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GKI 271.1.2015</w:t>
            </w:r>
          </w:p>
          <w:p>
            <w:pPr>
              <w:pStyle w:val="style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style0"/>
        <w:rPr>
          <w:rFonts w:cs="Times New Roman"/>
          <w:b/>
          <w:bCs/>
          <w:color w:val="000000"/>
          <w:sz w:val="24"/>
          <w:szCs w:val="24"/>
        </w:rPr>
      </w:pPr>
      <w:bookmarkStart w:id="0" w:name="__DdeLink__289_463782694"/>
      <w:r>
        <w:rPr>
          <w:rFonts w:cs="Times New Roman" w:eastAsia="Times New Roman"/>
          <w:color w:val="000000"/>
          <w:sz w:val="24"/>
          <w:szCs w:val="24"/>
        </w:rPr>
        <w:t>Dotyczy: przetargu nieograniczonego na zadanie pn:</w:t>
      </w:r>
      <w:r>
        <w:rPr>
          <w:rFonts w:cs="Times New Roman"/>
          <w:b/>
          <w:sz w:val="24"/>
          <w:szCs w:val="24"/>
        </w:rPr>
        <w:t xml:space="preserve"> Budowa sieci kanalizacyjnej w miejscowości Dobre ul. Słoneczna </w:t>
      </w:r>
      <w:r>
        <w:rPr>
          <w:rFonts w:cs="Times New Roman"/>
          <w:b/>
          <w:bCs/>
          <w:color w:val="000000"/>
          <w:sz w:val="24"/>
          <w:szCs w:val="24"/>
        </w:rPr>
        <w:t>NR ref. GKI 271.1.2015</w:t>
      </w:r>
    </w:p>
    <w:p>
      <w:pPr>
        <w:pStyle w:val="style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42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ZAWIADOMIENIE O WYBORZE OFERTY</w:t>
      </w:r>
    </w:p>
    <w:p>
      <w:pPr>
        <w:pStyle w:val="style0"/>
        <w:spacing w:line="360" w:lineRule="auto"/>
        <w:jc w:val="both"/>
        <w:rPr>
          <w:b/>
        </w:rPr>
      </w:pPr>
      <w:r>
        <w:rPr/>
        <w:t>Na podstawie art. 92 ust. 2 ustawy z dnia 29 stycznia 2004 r. Prawo zamówień publicznych (Dz. U. z 2013 r. poz. 907, z późn. zm.)</w:t>
      </w:r>
      <w:r>
        <w:rPr>
          <w:bCs/>
        </w:rPr>
        <w:t xml:space="preserve">, </w:t>
      </w:r>
      <w:r>
        <w:rPr/>
        <w:t xml:space="preserve"> Zamawiający – </w:t>
      </w:r>
      <w:r>
        <w:rPr>
          <w:b/>
        </w:rPr>
        <w:t>Gmina Dobre</w:t>
      </w:r>
      <w:r>
        <w:rPr/>
        <w:t xml:space="preserve">, zawiadamia, że w postępowaniu o udzielenie zamówienia publicznego przeprowadzonym w trybie przetargu nieograniczonego </w:t>
      </w:r>
      <w:r>
        <w:rPr>
          <w:bCs/>
        </w:rPr>
        <w:t xml:space="preserve">została wybrana </w:t>
      </w:r>
      <w:r>
        <w:rPr>
          <w:b/>
          <w:bCs/>
        </w:rPr>
        <w:t>oferta nr 2,</w:t>
      </w:r>
      <w:r>
        <w:rPr>
          <w:bCs/>
        </w:rPr>
        <w:t xml:space="preserve"> złożona </w:t>
      </w:r>
      <w:r>
        <w:rPr/>
        <w:t xml:space="preserve"> przez Wykonawcę</w:t>
      </w:r>
      <w:r>
        <w:rPr>
          <w:b/>
        </w:rPr>
        <w:t xml:space="preserve">: </w:t>
      </w:r>
    </w:p>
    <w:p>
      <w:pPr>
        <w:pStyle w:val="style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ZAKŁAD INSTALACJI SANITARNYCH ZBIGNIEW JADCZUK</w:t>
      </w:r>
    </w:p>
    <w:p>
      <w:pPr>
        <w:pStyle w:val="style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ul. Krzywa 11A, 08-300 Sokołów Podlaski</w:t>
      </w:r>
    </w:p>
    <w:p>
      <w:pPr>
        <w:pStyle w:val="style0"/>
        <w:rPr>
          <w:rFonts w:cs="Times New Roman"/>
          <w:sz w:val="24"/>
          <w:szCs w:val="24"/>
        </w:rPr>
      </w:pPr>
      <w:bookmarkStart w:id="1" w:name="__DdeLink__289_463782694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Wykonawca, spełnił wszystkie wymogi Specyfikacji Istotnych Warunków Zamówienia</w:t>
        <w:br/>
        <w:t xml:space="preserve"> i otrzymał w kryterium cena 90 pkt </w:t>
      </w:r>
      <w:bookmarkEnd w:id="1"/>
      <w:r>
        <w:rPr>
          <w:rFonts w:cs="Times New Roman"/>
          <w:sz w:val="24"/>
          <w:szCs w:val="24"/>
        </w:rPr>
        <w:t>i w kryterium długość okresu gwarancji 10 pkt, razem otrzymał 100 pkt.</w:t>
      </w:r>
    </w:p>
    <w:p>
      <w:pPr>
        <w:pStyle w:val="style0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Porównanie złożonych ofert wraz z punktacją przyznaną Wykonawcom:</w:t>
      </w:r>
    </w:p>
    <w:tbl>
      <w:tblPr>
        <w:jc w:val="left"/>
        <w:tblInd w:type="dxa" w:w="0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color="000001" w:space="0" w:sz="4" w:val="single"/>
          <w:insideV w:color="000001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816"/>
        <w:gridCol w:w="2976"/>
        <w:gridCol w:w="2551"/>
        <w:gridCol w:w="1417"/>
        <w:gridCol w:w="1420"/>
      </w:tblGrid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L.p.</w:t>
            </w:r>
          </w:p>
        </w:tc>
        <w:tc>
          <w:tcPr>
            <w:tcW w:type="dxa" w:w="29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Nazwa i adres Wykonawcy</w:t>
            </w:r>
          </w:p>
        </w:tc>
        <w:tc>
          <w:tcPr>
            <w:tcW w:type="dxa" w:w="25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Kryterium cena 90%-90 pkt.</w:t>
            </w:r>
          </w:p>
        </w:tc>
        <w:tc>
          <w:tcPr>
            <w:tcW w:type="dxa" w:w="14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Kryterium gwarancja 10%-10 pkt.</w:t>
            </w:r>
          </w:p>
        </w:tc>
        <w:tc>
          <w:tcPr>
            <w:tcW w:type="dxa" w:w="14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Razem pkt.</w:t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type="dxa" w:w="29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Przedsiębiorstwo Budowlano –Handlowe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„</w:t>
            </w:r>
            <w:r>
              <w:rPr>
                <w:rFonts w:cs="Times New Roman"/>
                <w:sz w:val="24"/>
                <w:szCs w:val="24"/>
              </w:rPr>
              <w:t>Z. Niziński”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ul. Serocka 11A</w:t>
              <w:br/>
              <w:t xml:space="preserve">07-200 Wyszków  </w:t>
            </w:r>
          </w:p>
        </w:tc>
        <w:tc>
          <w:tcPr>
            <w:tcW w:type="dxa" w:w="25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55,17</w:t>
            </w:r>
          </w:p>
        </w:tc>
        <w:tc>
          <w:tcPr>
            <w:tcW w:type="dxa" w:w="14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6</w:t>
            </w:r>
          </w:p>
        </w:tc>
        <w:tc>
          <w:tcPr>
            <w:tcW w:type="dxa" w:w="14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61,17</w:t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type="dxa" w:w="29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Zakład Instalacji Sanitarnych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Zbigniew Jadczuk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Ul. Krzywa 11A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08-300 Sokołów Podlaski</w:t>
            </w:r>
          </w:p>
        </w:tc>
        <w:tc>
          <w:tcPr>
            <w:tcW w:type="dxa" w:w="25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90</w:t>
            </w:r>
          </w:p>
        </w:tc>
        <w:tc>
          <w:tcPr>
            <w:tcW w:type="dxa" w:w="14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</w:t>
            </w:r>
          </w:p>
        </w:tc>
        <w:tc>
          <w:tcPr>
            <w:tcW w:type="dxa" w:w="14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100</w:t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type="dxa" w:w="29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INST-CENTRAL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Adam Szczepański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Krzysztof Szczepański s.c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Ul. Łąkowa 4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Stara Niedziałka 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05-300 Mińsk Mazowiecki</w:t>
            </w:r>
          </w:p>
        </w:tc>
        <w:tc>
          <w:tcPr>
            <w:tcW w:type="dxa" w:w="25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</w:tc>
        <w:tc>
          <w:tcPr>
            <w:tcW w:type="dxa" w:w="14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</w:tc>
        <w:tc>
          <w:tcPr>
            <w:tcW w:type="dxa" w:w="14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type="dxa" w:w="29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Przedsiębiorstwo Budownictwa Inżynieryjnego 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MELBUD Sp. z o.o., 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08-110 Siedlce 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ul. Karowa 25</w:t>
            </w:r>
          </w:p>
        </w:tc>
        <w:tc>
          <w:tcPr>
            <w:tcW w:type="dxa" w:w="25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76,65</w:t>
            </w:r>
          </w:p>
        </w:tc>
        <w:tc>
          <w:tcPr>
            <w:tcW w:type="dxa" w:w="14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</w:t>
            </w:r>
          </w:p>
        </w:tc>
        <w:tc>
          <w:tcPr>
            <w:tcW w:type="dxa" w:w="14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86,65</w:t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type="dxa" w:w="29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PHU HYDROMIX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Sebastian Piętka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Stara Huta 45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08-410 Garwolin</w:t>
            </w:r>
          </w:p>
        </w:tc>
        <w:tc>
          <w:tcPr>
            <w:tcW w:type="dxa" w:w="25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_</w:t>
            </w:r>
          </w:p>
        </w:tc>
        <w:tc>
          <w:tcPr>
            <w:tcW w:type="dxa" w:w="14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</w:tc>
        <w:tc>
          <w:tcPr>
            <w:tcW w:type="dxa" w:w="14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type="dxa" w:w="29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„</w:t>
            </w:r>
            <w:r>
              <w:rPr>
                <w:rFonts w:cs="Times New Roman"/>
                <w:sz w:val="24"/>
                <w:szCs w:val="24"/>
              </w:rPr>
              <w:t>HYDROMEX”s.c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Lech Tomasz 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Zdzisław Rękawek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Ul. Majowa 244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05-400 Otwock</w:t>
            </w:r>
          </w:p>
        </w:tc>
        <w:tc>
          <w:tcPr>
            <w:tcW w:type="dxa" w:w="25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--</w:t>
            </w:r>
          </w:p>
        </w:tc>
        <w:tc>
          <w:tcPr>
            <w:tcW w:type="dxa" w:w="14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</w:tc>
        <w:tc>
          <w:tcPr>
            <w:tcW w:type="dxa" w:w="14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type="dxa" w:w="29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Przedsiębiorstwo Produkcyjno –Usługowo-Handlowe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„</w:t>
            </w:r>
            <w:r>
              <w:rPr>
                <w:rFonts w:cs="Times New Roman"/>
                <w:sz w:val="24"/>
                <w:szCs w:val="24"/>
              </w:rPr>
              <w:t>GAW-BUD”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Eugeniusz Gawor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Ul. Ogrodowa 3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08-200 Łosice</w:t>
            </w:r>
          </w:p>
        </w:tc>
        <w:tc>
          <w:tcPr>
            <w:tcW w:type="dxa" w:w="25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</w:tc>
        <w:tc>
          <w:tcPr>
            <w:tcW w:type="dxa" w:w="14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</w:tc>
        <w:tc>
          <w:tcPr>
            <w:tcW w:type="dxa" w:w="14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</w:tc>
      </w:tr>
      <w:tr>
        <w:trPr>
          <w:trHeight w:hRule="atLeast" w:val="1438"/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type="dxa" w:w="29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Roboty Drogowe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i Brukarskie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Mirosław Krysiuk 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05-300 Mińsk Mazowiecki  ul. Konstytucji 3-go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Maja 2/103</w:t>
            </w:r>
          </w:p>
        </w:tc>
        <w:tc>
          <w:tcPr>
            <w:tcW w:type="dxa" w:w="25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65,71</w:t>
            </w:r>
          </w:p>
        </w:tc>
        <w:tc>
          <w:tcPr>
            <w:tcW w:type="dxa" w:w="14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</w:t>
            </w:r>
          </w:p>
        </w:tc>
        <w:tc>
          <w:tcPr>
            <w:tcW w:type="dxa" w:w="14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75,71</w:t>
            </w:r>
          </w:p>
        </w:tc>
      </w:tr>
      <w:tr>
        <w:trPr>
          <w:cantSplit w:val="false"/>
        </w:trPr>
        <w:tc>
          <w:tcPr>
            <w:tcW w:type="dxa" w:w="81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type="dxa" w:w="297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INŻYNIERIA ADAMPOL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Adam Michalik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Ul. Spacerowa 3</w:t>
            </w:r>
          </w:p>
          <w:p>
            <w:pPr>
              <w:pStyle w:val="style0"/>
              <w:spacing w:after="0" w:before="0" w:line="100" w:lineRule="atLeast"/>
              <w:contextualSpacing w:val="false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05-280Adampol</w:t>
            </w:r>
          </w:p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type="dxa" w:w="255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</w:tc>
        <w:tc>
          <w:tcPr>
            <w:tcW w:type="dxa" w:w="1417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</w:tc>
        <w:tc>
          <w:tcPr>
            <w:tcW w:type="dxa" w:w="1420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</w:tc>
      </w:tr>
    </w:tbl>
    <w:p>
      <w:pPr>
        <w:pStyle w:val="style0"/>
        <w:rPr/>
      </w:pPr>
      <w:r>
        <w:rPr/>
        <w:t xml:space="preserve">                                                                                                                </w:t>
      </w:r>
    </w:p>
    <w:p>
      <w:pPr>
        <w:pStyle w:val="style0"/>
        <w:rPr/>
      </w:pPr>
      <w:r>
        <w:rPr/>
        <w:t xml:space="preserve">                                                                                                                    </w:t>
      </w:r>
      <w:r>
        <w:rPr/>
        <w:t>WÓJT</w:t>
      </w:r>
    </w:p>
    <w:p>
      <w:pPr>
        <w:pStyle w:val="style0"/>
        <w:rPr/>
      </w:pPr>
      <w:r>
        <w:rPr/>
        <w:t xml:space="preserve">                                                                                                           </w:t>
      </w:r>
      <w:r>
        <w:rPr/>
        <w:t>Tadeusz Gałązka</w:t>
      </w:r>
    </w:p>
    <w:sectPr>
      <w:footerReference r:id="rId2" w:type="default"/>
      <w:type w:val="nextPage"/>
      <w:pgSz w:h="16838" w:w="11906"/>
      <w:pgMar w:bottom="1417" w:footer="708" w:gutter="0" w:header="0" w:left="1417" w:right="1417" w:top="1417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tbl>
    <w:tblPr>
      <w:jc w:val="left"/>
      <w:tblInd w:type="dxa" w:w="0"/>
      <w:tblBorders>
        <w:top w:val="nil"/>
        <w:left w:val="nil"/>
        <w:bottom w:val="nil"/>
        <w:insideH w:val="nil"/>
        <w:right w:val="nil"/>
        <w:insideV w:val="nil"/>
      </w:tblBorders>
      <w:tblCellMar>
        <w:top w:type="dxa" w:w="0"/>
        <w:left w:type="dxa" w:w="108"/>
        <w:bottom w:type="dxa" w:w="0"/>
        <w:right w:type="dxa" w:w="108"/>
      </w:tblCellMar>
    </w:tblPr>
    <w:tblGrid>
      <w:gridCol w:w="3070"/>
      <w:gridCol w:w="3069"/>
      <w:gridCol w:w="3073"/>
    </w:tblGrid>
    <w:tr>
      <w:trPr>
        <w:cantSplit w:val="false"/>
      </w:trPr>
      <w:tc>
        <w:tcPr>
          <w:tcW w:type="dxa" w:w="3070"/>
          <w:tcBorders>
            <w:top w:val="nil"/>
            <w:left w:val="nil"/>
            <w:bottom w:val="nil"/>
            <w:right w:val="nil"/>
          </w:tcBorders>
          <w:shd w:fill="FFFFFF" w:val="clear"/>
          <w:vAlign w:val="center"/>
        </w:tcPr>
        <w:p>
          <w:pPr>
            <w:pStyle w:val="style3"/>
            <w:keepNext/>
            <w:keepLines/>
            <w:overflowPunct w:val="true"/>
            <w:spacing w:after="0" w:before="200" w:line="100" w:lineRule="atLeast"/>
            <w:contextualSpacing w:val="false"/>
            <w:textAlignment w:val="baseline"/>
            <w:rPr/>
          </w:pPr>
          <w:r>
            <w:rPr/>
            <w:drawing>
              <wp:inline distB="0" distL="0" distR="0" distT="0">
                <wp:extent cx="981075" cy="647700"/>
                <wp:effectExtent b="0" l="0" r="0" t="0"/>
                <wp:docPr descr="EU+EFS_P-kolor" id="0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descr="EU+EFS_P-kolor" id="0" name="Picture"/>
                        <pic:cNvPicPr>
                          <a:picLocks noChangeArrowheads="1"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>
          <w:pPr>
            <w:pStyle w:val="style0"/>
            <w:rPr/>
          </w:pPr>
          <w:r>
            <w:rPr/>
          </w:r>
        </w:p>
      </w:tc>
      <w:tc>
        <w:tcPr>
          <w:tcW w:type="dxa" w:w="3069"/>
          <w:tcBorders>
            <w:top w:val="nil"/>
            <w:left w:val="nil"/>
            <w:bottom w:val="nil"/>
            <w:right w:val="nil"/>
          </w:tcBorders>
          <w:shd w:fill="FFFFFF" w:val="clear"/>
          <w:vAlign w:val="center"/>
        </w:tcPr>
        <w:p>
          <w:pPr>
            <w:pStyle w:val="style0"/>
            <w:jc w:val="center"/>
            <w:rPr>
              <w:rFonts w:ascii="Calibri" w:hAnsi="Calibri"/>
              <w:b/>
            </w:rPr>
          </w:pPr>
          <w:r>
            <w:rPr>
              <w:rFonts w:ascii="Calibri" w:hAnsi="Calibri"/>
              <w:b/>
            </w:rPr>
          </w:r>
        </w:p>
      </w:tc>
      <w:tc>
        <w:tcPr>
          <w:tcW w:type="dxa" w:w="3073"/>
          <w:tcBorders>
            <w:top w:val="nil"/>
            <w:left w:val="nil"/>
            <w:bottom w:val="nil"/>
            <w:right w:val="nil"/>
          </w:tcBorders>
          <w:shd w:fill="FFFFFF" w:val="clear"/>
          <w:vAlign w:val="center"/>
        </w:tcPr>
        <w:p>
          <w:pPr>
            <w:pStyle w:val="style3"/>
            <w:spacing w:after="0" w:before="200"/>
            <w:contextualSpacing w:val="false"/>
            <w:jc w:val="right"/>
            <w:rPr/>
          </w:pPr>
          <w:r>
            <w:rPr/>
            <w:drawing>
              <wp:inline distB="0" distL="0" distR="0" distT="0">
                <wp:extent cx="1323975" cy="866775"/>
                <wp:effectExtent b="0" l="0" r="0" t="0"/>
                <wp:docPr descr="Logo_PROW" id="1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descr="Logo_PROW" id="1" name="Picture"/>
                        <pic:cNvPicPr>
                          <a:picLocks noChangeArrowheads="1" noChangeAspect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>
          <w:pPr>
            <w:pStyle w:val="style0"/>
            <w:rPr/>
          </w:pPr>
          <w:r>
            <w:rPr/>
          </w:r>
        </w:p>
      </w:tc>
    </w:tr>
  </w:tbl>
  <w:p>
    <w:pPr>
      <w:pStyle w:val="style3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  <w:spacing w:after="0" w:before="0" w:line="100" w:lineRule="atLeast"/>
      <w:contextualSpacing w:val="false"/>
    </w:pPr>
    <w:rPr>
      <w:rFonts w:ascii="Times New Roman" w:cs="Times New Roman" w:eastAsia="Arial" w:hAnsi="Times New Roman"/>
      <w:color w:val="auto"/>
      <w:sz w:val="24"/>
      <w:szCs w:val="24"/>
      <w:lang w:bidi="ar-SA" w:eastAsia="ar-SA" w:val="pl-PL"/>
    </w:rPr>
  </w:style>
  <w:style w:styleId="style3" w:type="paragraph">
    <w:name w:val="Nagłówek 3"/>
    <w:basedOn w:val="style0"/>
    <w:next w:val="style3"/>
    <w:pPr>
      <w:keepNext/>
      <w:keepLines/>
      <w:overflowPunct w:val="true"/>
      <w:spacing w:after="0" w:before="200" w:line="100" w:lineRule="atLeast"/>
      <w:contextualSpacing w:val="false"/>
      <w:textAlignment w:val="baseline"/>
    </w:pPr>
    <w:rPr>
      <w:rFonts w:ascii="Cambria" w:cs="Times New Roman" w:eastAsia="Times New Roman" w:hAnsi="Cambria"/>
      <w:b/>
      <w:bCs/>
      <w:color w:val="4F81BD"/>
      <w:sz w:val="20"/>
      <w:szCs w:val="20"/>
    </w:rPr>
  </w:style>
  <w:style w:styleId="style15" w:type="character">
    <w:name w:val="Default Paragraph Font"/>
    <w:next w:val="style15"/>
    <w:rPr/>
  </w:style>
  <w:style w:styleId="style16" w:type="character">
    <w:name w:val="Wyróżnienie"/>
    <w:basedOn w:val="style15"/>
    <w:next w:val="style16"/>
    <w:rPr>
      <w:i/>
      <w:iCs w:val="false"/>
    </w:rPr>
  </w:style>
  <w:style w:styleId="style17" w:type="character">
    <w:name w:val="Stopka Znak"/>
    <w:basedOn w:val="style15"/>
    <w:next w:val="style17"/>
    <w:rPr>
      <w:rFonts w:ascii="Times New Roman" w:cs="Times New Roman" w:eastAsia="Times New Roman" w:hAnsi="Times New Roman"/>
      <w:color w:val="000000"/>
      <w:sz w:val="24"/>
      <w:szCs w:val="20"/>
      <w:lang w:eastAsia="en-US" w:val="en-US"/>
    </w:rPr>
  </w:style>
  <w:style w:styleId="style18" w:type="character">
    <w:name w:val="Tekst podstawowy wcięty Znak"/>
    <w:basedOn w:val="style15"/>
    <w:next w:val="style18"/>
    <w:rPr>
      <w:rFonts w:ascii="Times New Roman" w:cs="Times New Roman" w:eastAsia="Times New Roman" w:hAnsi="Times New Roman"/>
      <w:sz w:val="20"/>
      <w:szCs w:val="20"/>
    </w:rPr>
  </w:style>
  <w:style w:styleId="style19" w:type="character">
    <w:name w:val="Tekst podstawowy 2 Znak"/>
    <w:basedOn w:val="style15"/>
    <w:next w:val="style19"/>
    <w:rPr>
      <w:rFonts w:ascii="Times New Roman" w:cs="Times New Roman" w:eastAsia="Times New Roman" w:hAnsi="Times New Roman"/>
      <w:sz w:val="20"/>
      <w:szCs w:val="20"/>
    </w:rPr>
  </w:style>
  <w:style w:styleId="style20" w:type="character">
    <w:name w:val="Mocno wyróżniony"/>
    <w:basedOn w:val="style15"/>
    <w:next w:val="style20"/>
    <w:rPr>
      <w:b/>
      <w:bCs/>
    </w:rPr>
  </w:style>
  <w:style w:styleId="style21" w:type="character">
    <w:name w:val="Tekst podstawowy Znak"/>
    <w:basedOn w:val="style15"/>
    <w:next w:val="style21"/>
    <w:rPr/>
  </w:style>
  <w:style w:styleId="style22" w:type="character">
    <w:name w:val="Nagłówek 3 Znak"/>
    <w:basedOn w:val="style15"/>
    <w:next w:val="style22"/>
    <w:rPr>
      <w:rFonts w:ascii="Cambria" w:cs="Times New Roman" w:eastAsia="Times New Roman" w:hAnsi="Cambria"/>
      <w:b/>
      <w:bCs/>
      <w:color w:val="4F81BD"/>
      <w:sz w:val="20"/>
      <w:szCs w:val="20"/>
    </w:rPr>
  </w:style>
  <w:style w:styleId="style23" w:type="character">
    <w:name w:val="Tekst dymka Znak"/>
    <w:basedOn w:val="style15"/>
    <w:next w:val="style23"/>
    <w:rPr>
      <w:rFonts w:ascii="Tahoma" w:cs="Tahoma" w:hAnsi="Tahoma"/>
      <w:sz w:val="16"/>
      <w:szCs w:val="16"/>
    </w:rPr>
  </w:style>
  <w:style w:styleId="style24" w:type="character">
    <w:name w:val="Nagłówek Znak"/>
    <w:basedOn w:val="style15"/>
    <w:next w:val="style24"/>
    <w:rPr/>
  </w:style>
  <w:style w:styleId="style25" w:type="character">
    <w:name w:val="Normalny (Web) Znak"/>
    <w:basedOn w:val="style15"/>
    <w:next w:val="style25"/>
    <w:rPr>
      <w:rFonts w:ascii="Times New Roman" w:cs="Times New Roman" w:eastAsia="Times New Roman" w:hAnsi="Times New Roman"/>
      <w:sz w:val="24"/>
      <w:szCs w:val="24"/>
    </w:rPr>
  </w:style>
  <w:style w:styleId="style26" w:type="character">
    <w:name w:val="Tekst podstawowy wcięty 2 Znak"/>
    <w:basedOn w:val="style15"/>
    <w:next w:val="style26"/>
    <w:rPr>
      <w:rFonts w:cs="Calibri"/>
      <w:lang w:eastAsia="en-US"/>
    </w:rPr>
  </w:style>
  <w:style w:styleId="style27" w:type="character">
    <w:name w:val="marker"/>
    <w:basedOn w:val="style15"/>
    <w:next w:val="style27"/>
    <w:rPr/>
  </w:style>
  <w:style w:styleId="style28" w:type="character">
    <w:name w:val="color_stealblue"/>
    <w:basedOn w:val="style15"/>
    <w:next w:val="style28"/>
    <w:rPr/>
  </w:style>
  <w:style w:styleId="style29" w:type="character">
    <w:name w:val="color_crimson_red"/>
    <w:basedOn w:val="style15"/>
    <w:next w:val="style29"/>
    <w:rPr/>
  </w:style>
  <w:style w:styleId="style30" w:type="character">
    <w:name w:val="color_dark_red"/>
    <w:basedOn w:val="style15"/>
    <w:next w:val="style30"/>
    <w:rPr/>
  </w:style>
  <w:style w:styleId="style31" w:type="character">
    <w:name w:val="Tekst przypisu dolnego Znak"/>
    <w:basedOn w:val="style15"/>
    <w:next w:val="style31"/>
    <w:rPr>
      <w:sz w:val="20"/>
      <w:szCs w:val="20"/>
    </w:rPr>
  </w:style>
  <w:style w:styleId="style32" w:type="character">
    <w:name w:val="footnote reference"/>
    <w:basedOn w:val="style15"/>
    <w:next w:val="style32"/>
    <w:rPr>
      <w:vertAlign w:val="superscript"/>
    </w:rPr>
  </w:style>
  <w:style w:styleId="style33" w:type="character">
    <w:name w:val="ListLabel 1"/>
    <w:next w:val="style33"/>
    <w:rPr>
      <w:b w:val="false"/>
      <w:i w:val="false"/>
      <w:sz w:val="24"/>
      <w:szCs w:val="24"/>
    </w:rPr>
  </w:style>
  <w:style w:styleId="style34" w:type="paragraph">
    <w:name w:val="Nagłówek"/>
    <w:basedOn w:val="style0"/>
    <w:next w:val="style35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35" w:type="paragraph">
    <w:name w:val="Treść tekstu"/>
    <w:basedOn w:val="style0"/>
    <w:next w:val="style35"/>
    <w:pPr>
      <w:spacing w:after="120" w:before="0"/>
      <w:contextualSpacing w:val="false"/>
    </w:pPr>
    <w:rPr/>
  </w:style>
  <w:style w:styleId="style36" w:type="paragraph">
    <w:name w:val="Lista"/>
    <w:basedOn w:val="style35"/>
    <w:next w:val="style36"/>
    <w:pPr/>
    <w:rPr>
      <w:rFonts w:cs="Mangal"/>
    </w:rPr>
  </w:style>
  <w:style w:styleId="style37" w:type="paragraph">
    <w:name w:val="Podpis"/>
    <w:basedOn w:val="style0"/>
    <w:next w:val="style37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38" w:type="paragraph">
    <w:name w:val="Indeks"/>
    <w:basedOn w:val="style0"/>
    <w:next w:val="style38"/>
    <w:pPr>
      <w:suppressLineNumbers/>
    </w:pPr>
    <w:rPr>
      <w:rFonts w:cs="Mangal"/>
    </w:rPr>
  </w:style>
  <w:style w:styleId="style39" w:type="paragraph">
    <w:name w:val="Stopka"/>
    <w:basedOn w:val="style0"/>
    <w:next w:val="style39"/>
    <w:pPr>
      <w:tabs>
        <w:tab w:leader="none" w:pos="4320" w:val="center"/>
        <w:tab w:leader="none" w:pos="8640" w:val="right"/>
      </w:tabs>
      <w:spacing w:after="0" w:before="0" w:line="100" w:lineRule="atLeast"/>
      <w:contextualSpacing w:val="false"/>
    </w:pPr>
    <w:rPr>
      <w:rFonts w:ascii="Times New Roman" w:cs="Times New Roman" w:eastAsia="Times New Roman" w:hAnsi="Times New Roman"/>
      <w:color w:val="000000"/>
      <w:sz w:val="24"/>
      <w:szCs w:val="20"/>
      <w:lang w:eastAsia="en-US" w:val="en-US"/>
    </w:rPr>
  </w:style>
  <w:style w:styleId="style40" w:type="paragraph">
    <w:name w:val="Wcięcie treści tekstu"/>
    <w:basedOn w:val="style0"/>
    <w:next w:val="style40"/>
    <w:pPr>
      <w:overflowPunct w:val="true"/>
      <w:spacing w:after="120" w:before="0" w:line="100" w:lineRule="atLeast"/>
      <w:ind w:hanging="0" w:left="283" w:right="0"/>
      <w:contextualSpacing w:val="false"/>
    </w:pPr>
    <w:rPr>
      <w:rFonts w:ascii="Times New Roman" w:cs="Times New Roman" w:eastAsia="Times New Roman" w:hAnsi="Times New Roman"/>
      <w:sz w:val="20"/>
      <w:szCs w:val="20"/>
    </w:rPr>
  </w:style>
  <w:style w:styleId="style41" w:type="paragraph">
    <w:name w:val="Body Text 2"/>
    <w:basedOn w:val="style0"/>
    <w:next w:val="style41"/>
    <w:pPr>
      <w:overflowPunct w:val="true"/>
      <w:spacing w:after="120" w:before="0" w:line="480" w:lineRule="auto"/>
      <w:contextualSpacing w:val="false"/>
    </w:pPr>
    <w:rPr>
      <w:rFonts w:ascii="Times New Roman" w:cs="Times New Roman" w:eastAsia="Times New Roman" w:hAnsi="Times New Roman"/>
      <w:sz w:val="20"/>
      <w:szCs w:val="20"/>
    </w:rPr>
  </w:style>
  <w:style w:styleId="style42" w:type="paragraph">
    <w:name w:val="No Spacing"/>
    <w:next w:val="style42"/>
    <w:pPr>
      <w:widowControl/>
      <w:suppressAutoHyphens w:val="true"/>
      <w:spacing w:after="0" w:before="0" w:line="100" w:lineRule="atLeast"/>
      <w:contextualSpacing w:val="false"/>
    </w:pPr>
    <w:rPr>
      <w:rFonts w:ascii="Calibri" w:cs="Times New Roman" w:eastAsia="Times New Roman" w:hAnsi="Calibri"/>
      <w:color w:val="auto"/>
      <w:sz w:val="22"/>
      <w:szCs w:val="22"/>
      <w:lang w:bidi="ar-SA" w:eastAsia="pl-PL" w:val="pl-PL"/>
    </w:rPr>
  </w:style>
  <w:style w:styleId="style43" w:type="paragraph">
    <w:name w:val="Tekst podstawowy 21"/>
    <w:basedOn w:val="style0"/>
    <w:next w:val="style43"/>
    <w:pPr>
      <w:tabs>
        <w:tab w:leader="none" w:pos="720" w:val="left"/>
        <w:tab w:leader="none" w:pos="1267" w:val="left"/>
      </w:tabs>
      <w:overflowPunct w:val="true"/>
      <w:spacing w:after="0" w:before="0" w:line="100" w:lineRule="atLeast"/>
      <w:contextualSpacing w:val="false"/>
      <w:jc w:val="both"/>
    </w:pPr>
    <w:rPr>
      <w:rFonts w:ascii="Times New Roman" w:cs="Times New Roman" w:eastAsia="Times New Roman" w:hAnsi="Times New Roman"/>
      <w:szCs w:val="20"/>
    </w:rPr>
  </w:style>
  <w:style w:styleId="style44" w:type="paragraph">
    <w:name w:val="Balloon Text"/>
    <w:basedOn w:val="style0"/>
    <w:next w:val="style44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  <w:style w:styleId="style45" w:type="paragraph">
    <w:name w:val="Główka"/>
    <w:basedOn w:val="style0"/>
    <w:next w:val="style45"/>
    <w:pPr>
      <w:tabs>
        <w:tab w:leader="none" w:pos="4536" w:val="center"/>
        <w:tab w:leader="none" w:pos="9072" w:val="right"/>
      </w:tabs>
      <w:spacing w:after="0" w:before="0" w:line="100" w:lineRule="atLeast"/>
      <w:contextualSpacing w:val="false"/>
    </w:pPr>
    <w:rPr/>
  </w:style>
  <w:style w:styleId="style46" w:type="paragraph">
    <w:name w:val="Normal (Web)"/>
    <w:basedOn w:val="style0"/>
    <w:next w:val="style46"/>
    <w:pPr>
      <w:spacing w:after="280" w:before="280" w:line="100" w:lineRule="atLeast"/>
      <w:contextualSpacing w:val="false"/>
    </w:pPr>
    <w:rPr>
      <w:rFonts w:ascii="Times New Roman" w:cs="Times New Roman" w:eastAsia="Times New Roman" w:hAnsi="Times New Roman"/>
      <w:sz w:val="24"/>
      <w:szCs w:val="24"/>
    </w:rPr>
  </w:style>
  <w:style w:styleId="style47" w:type="paragraph">
    <w:name w:val="Body Text Indent 2"/>
    <w:basedOn w:val="style0"/>
    <w:next w:val="style47"/>
    <w:pPr>
      <w:spacing w:after="120" w:before="0" w:line="480" w:lineRule="auto"/>
      <w:ind w:hanging="0" w:left="283" w:right="0"/>
      <w:contextualSpacing w:val="false"/>
    </w:pPr>
    <w:rPr>
      <w:rFonts w:cs="Calibri"/>
      <w:lang w:eastAsia="en-US"/>
    </w:rPr>
  </w:style>
  <w:style w:styleId="style48" w:type="paragraph">
    <w:name w:val="lst_minus"/>
    <w:basedOn w:val="style0"/>
    <w:next w:val="style48"/>
    <w:pPr>
      <w:spacing w:after="0" w:before="0" w:line="100" w:lineRule="atLeast"/>
      <w:ind w:hanging="132" w:left="132" w:right="0"/>
      <w:contextualSpacing w:val="false"/>
    </w:pPr>
    <w:rPr>
      <w:rFonts w:ascii="Times New Roman" w:cs="Times New Roman" w:eastAsia="Times New Roman" w:hAnsi="Times New Roman"/>
      <w:sz w:val="24"/>
      <w:szCs w:val="24"/>
    </w:rPr>
  </w:style>
  <w:style w:styleId="style49" w:type="paragraph">
    <w:name w:val="List Paragraph"/>
    <w:basedOn w:val="style0"/>
    <w:next w:val="style49"/>
    <w:pPr>
      <w:spacing w:after="200" w:before="0"/>
      <w:ind w:hanging="0" w:left="720" w:right="0"/>
      <w:contextualSpacing/>
    </w:pPr>
    <w:rPr/>
  </w:style>
  <w:style w:styleId="style50" w:type="paragraph">
    <w:name w:val="footnote text"/>
    <w:basedOn w:val="style0"/>
    <w:next w:val="style50"/>
    <w:pPr>
      <w:spacing w:after="0" w:before="0" w:line="100" w:lineRule="atLeast"/>
      <w:contextualSpacing w:val="false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2015-02-13T10:32:00Z</dcterms:created>
  <dc:creator>INWESTYCJE</dc:creator>
  <cp:lastModifiedBy>Aneta Ciszewska</cp:lastModifiedBy>
  <cp:lastPrinted>2015-01-26T10:00:00Z</cp:lastPrinted>
  <dcterms:modified xsi:type="dcterms:W3CDTF">2015-02-13T13:09:00Z</dcterms:modified>
  <cp:revision>7</cp:revision>
</cp:coreProperties>
</file>