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b/>
        </w:rPr>
        <w:t xml:space="preserve">Część </w:t>
      </w:r>
      <w:r>
        <w:rPr>
          <w:b/>
        </w:rPr>
        <w:t>1</w:t>
      </w:r>
      <w:r>
        <w:rPr>
          <w:b/>
        </w:rPr>
        <w:t xml:space="preserve"> – System alarmowy  .</w:t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  <w:color w:val="980000"/>
        </w:rPr>
      </w:pPr>
      <w:r>
        <w:rPr>
          <w:b/>
          <w:color w:val="980000"/>
        </w:rPr>
      </w:r>
    </w:p>
    <w:p>
      <w:pPr>
        <w:pStyle w:val="Normal"/>
        <w:spacing w:before="0" w:after="0"/>
        <w:contextualSpacing/>
        <w:rPr>
          <w:b/>
          <w:b/>
        </w:rPr>
      </w:pPr>
      <w:r>
        <w:rPr>
          <w:b/>
        </w:rPr>
      </w:r>
    </w:p>
    <w:tbl>
      <w:tblPr>
        <w:tblStyle w:val="Table7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6" w:space="0" w:color="000001"/>
          <w:right w:val="single" w:sz="8" w:space="0" w:color="000001"/>
          <w:insideH w:val="single" w:sz="6" w:space="0" w:color="000001"/>
          <w:insideV w:val="single" w:sz="8" w:space="0" w:color="000001"/>
        </w:tblBorders>
        <w:tblCellMar>
          <w:top w:w="100" w:type="dxa"/>
          <w:left w:w="80" w:type="dxa"/>
          <w:bottom w:w="100" w:type="dxa"/>
          <w:right w:w="100" w:type="dxa"/>
        </w:tblCellMar>
        <w:tblLook w:val="0600"/>
      </w:tblPr>
      <w:tblGrid>
        <w:gridCol w:w="4364"/>
        <w:gridCol w:w="9585"/>
      </w:tblGrid>
      <w:tr>
        <w:trPr/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  <w:insideH w:val="single" w:sz="6" w:space="0" w:color="000001"/>
              <w:insideV w:val="single" w:sz="8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 xml:space="preserve">Nazwa 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  <w:insideH w:val="single" w:sz="6" w:space="0" w:color="000001"/>
              <w:insideV w:val="single" w:sz="8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b/>
                <w:b/>
              </w:rPr>
            </w:pPr>
            <w:r>
              <w:rPr>
                <w:b/>
              </w:rPr>
              <w:t>Opis minimalnych parametrów:</w:t>
            </w:r>
          </w:p>
        </w:tc>
      </w:tr>
      <w:tr>
        <w:trPr/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 xml:space="preserve">System alarmowy </w:t>
            </w:r>
            <w:bookmarkStart w:id="0" w:name="__DdeLink__5620_428947087"/>
            <w:bookmarkEnd w:id="0"/>
            <w:r>
              <w:rPr>
                <w:b/>
              </w:rPr>
              <w:t xml:space="preserve">wraz z montażem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>Gwarancja  2 lata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Centrala alarmowa </w:t>
            </w:r>
            <w:r>
              <w:rPr>
                <w:b/>
              </w:rPr>
              <w:t>min. 15 wej</w:t>
            </w:r>
            <w:r>
              <w:rPr>
                <w:b/>
              </w:rPr>
              <w:t>ść</w:t>
            </w:r>
            <w:r>
              <w:rPr>
                <w:b/>
              </w:rPr>
              <w:t xml:space="preserve">  z obudow</w:t>
            </w:r>
            <w:r>
              <w:rPr>
                <w:b/>
              </w:rPr>
              <w:t>ą</w:t>
            </w:r>
            <w:r>
              <w:rPr>
                <w:b/>
              </w:rPr>
              <w:t xml:space="preserve"> i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akumulatorem 12V 7 Ah o zywotnosci min 5 lat </w:t>
            </w:r>
            <w:r>
              <w:rPr>
                <w:b/>
              </w:rPr>
              <w:t xml:space="preserve"> – 1 </w:t>
            </w:r>
            <w:r>
              <w:rPr>
                <w:b/>
              </w:rPr>
              <w:t>kpl</w:t>
            </w:r>
            <w:r>
              <w:rPr>
                <w:b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>Klawiatura do obsługi alarmu LCD – 1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 xml:space="preserve">Czujniki PIR </w:t>
            </w:r>
            <w:r>
              <w:rPr>
                <w:b/>
              </w:rPr>
              <w:t>cyfrowy</w:t>
            </w:r>
            <w:r>
              <w:rPr>
                <w:b/>
              </w:rPr>
              <w:t xml:space="preserve"> - 10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>Sygnalizator zewnętrzny optyczno akustyczny – 1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 xml:space="preserve">Okablowanie + montaż . </w:t>
            </w:r>
          </w:p>
        </w:tc>
      </w:tr>
    </w:tbl>
    <w:p>
      <w:pPr>
        <w:pStyle w:val="Normal"/>
        <w:spacing w:before="0" w:after="0"/>
        <w:contextualSpacing/>
        <w:jc w:val="center"/>
        <w:rPr/>
      </w:pPr>
      <w:r>
        <w:rPr/>
      </w:r>
    </w:p>
    <w:p>
      <w:pPr>
        <w:pStyle w:val="Normal"/>
        <w:spacing w:before="0" w:after="0"/>
        <w:contextualSpacing/>
        <w:jc w:val="center"/>
        <w:rPr/>
      </w:pPr>
      <w:r>
        <w:rPr/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b/>
        </w:rPr>
        <w:t xml:space="preserve">Część </w:t>
      </w:r>
      <w:r>
        <w:rPr>
          <w:b/>
        </w:rPr>
        <w:t>2</w:t>
      </w:r>
      <w:r>
        <w:rPr>
          <w:b/>
        </w:rPr>
        <w:t xml:space="preserve"> – </w:t>
      </w:r>
      <w:bookmarkStart w:id="1" w:name="__DdeLink__3689_428947087"/>
      <w:r>
        <w:rPr>
          <w:b/>
        </w:rPr>
        <w:t>System CCTV</w:t>
      </w:r>
      <w:bookmarkEnd w:id="1"/>
      <w:r>
        <w:rPr>
          <w:b/>
        </w:rPr>
        <w:t xml:space="preserve"> :</w:t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  <w:color w:val="980000"/>
        </w:rPr>
      </w:pPr>
      <w:r>
        <w:rPr>
          <w:b/>
          <w:color w:val="980000"/>
        </w:rPr>
      </w:r>
    </w:p>
    <w:p>
      <w:pPr>
        <w:pStyle w:val="Normal"/>
        <w:spacing w:before="0" w:after="0"/>
        <w:contextualSpacing/>
        <w:jc w:val="center"/>
        <w:rPr>
          <w:b/>
          <w:b/>
          <w:color w:val="980000"/>
        </w:rPr>
      </w:pPr>
      <w:r>
        <w:rPr>
          <w:b/>
          <w:color w:val="980000"/>
        </w:rPr>
      </w:r>
    </w:p>
    <w:p>
      <w:pPr>
        <w:pStyle w:val="Normal"/>
        <w:spacing w:before="0" w:after="0"/>
        <w:contextualSpacing/>
        <w:rPr>
          <w:b/>
          <w:b/>
        </w:rPr>
      </w:pPr>
      <w:r>
        <w:rPr>
          <w:b/>
        </w:rPr>
      </w:r>
    </w:p>
    <w:tbl>
      <w:tblPr>
        <w:tblStyle w:val="Table7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6" w:space="0" w:color="000001"/>
          <w:right w:val="single" w:sz="8" w:space="0" w:color="000001"/>
          <w:insideH w:val="single" w:sz="6" w:space="0" w:color="000001"/>
          <w:insideV w:val="single" w:sz="8" w:space="0" w:color="000001"/>
        </w:tblBorders>
        <w:tblCellMar>
          <w:top w:w="100" w:type="dxa"/>
          <w:left w:w="80" w:type="dxa"/>
          <w:bottom w:w="100" w:type="dxa"/>
          <w:right w:w="100" w:type="dxa"/>
        </w:tblCellMar>
        <w:tblLook w:val="0600"/>
      </w:tblPr>
      <w:tblGrid>
        <w:gridCol w:w="4364"/>
        <w:gridCol w:w="9585"/>
      </w:tblGrid>
      <w:tr>
        <w:trPr/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  <w:insideH w:val="single" w:sz="6" w:space="0" w:color="000001"/>
              <w:insideV w:val="single" w:sz="8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 xml:space="preserve">Nazwa parametru: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  <w:insideH w:val="single" w:sz="6" w:space="0" w:color="000001"/>
              <w:insideV w:val="single" w:sz="8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>Opis minimalnych parametrów:</w:t>
            </w:r>
          </w:p>
        </w:tc>
      </w:tr>
      <w:tr>
        <w:trPr/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 xml:space="preserve">System CCTV wraz z montażem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>Gwarancja  2 lata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System </w:t>
            </w:r>
            <w:r>
              <w:rPr>
                <w:b/>
              </w:rPr>
              <w:t>CCTV</w:t>
            </w:r>
            <w:r>
              <w:rPr>
                <w:b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Rejestrator wideo </w:t>
            </w:r>
            <w:r>
              <w:rPr>
                <w:b/>
              </w:rPr>
              <w:t>16 wej</w:t>
            </w:r>
            <w:r>
              <w:rPr>
                <w:b/>
              </w:rPr>
              <w:t>ść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 z mo</w:t>
            </w:r>
            <w:r>
              <w:rPr>
                <w:b/>
              </w:rPr>
              <w:t>ż</w:t>
            </w:r>
            <w:r>
              <w:rPr>
                <w:b/>
              </w:rPr>
              <w:t>liwo</w:t>
            </w:r>
            <w:r>
              <w:rPr>
                <w:b/>
              </w:rPr>
              <w:t>ś</w:t>
            </w:r>
            <w:r>
              <w:rPr>
                <w:b/>
              </w:rPr>
              <w:t>ci</w:t>
            </w:r>
            <w:r>
              <w:rPr>
                <w:b/>
              </w:rPr>
              <w:t>ą</w:t>
            </w:r>
            <w:r>
              <w:rPr>
                <w:b/>
              </w:rPr>
              <w:t xml:space="preserve"> obsługi 2 dysków  i predko</w:t>
            </w:r>
            <w:r>
              <w:rPr>
                <w:b/>
              </w:rPr>
              <w:t>ś</w:t>
            </w:r>
            <w:r>
              <w:rPr>
                <w:b/>
              </w:rPr>
              <w:t>ci</w:t>
            </w:r>
            <w:r>
              <w:rPr>
                <w:b/>
              </w:rPr>
              <w:t>ą</w:t>
            </w:r>
            <w:r>
              <w:rPr>
                <w:b/>
              </w:rPr>
              <w:t xml:space="preserve"> zapisu 25 kl/sec przy rozdzielczo</w:t>
            </w:r>
            <w:r>
              <w:rPr>
                <w:b/>
              </w:rPr>
              <w:t>ś</w:t>
            </w:r>
            <w:r>
              <w:rPr>
                <w:b/>
              </w:rPr>
              <w:t>ci 1080p</w:t>
            </w:r>
            <w:r>
              <w:rPr>
                <w:b/>
              </w:rPr>
              <w:t xml:space="preserve"> – 1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Twardy dysk </w:t>
            </w:r>
            <w:r>
              <w:rPr>
                <w:b/>
              </w:rPr>
              <w:t>6</w:t>
            </w:r>
            <w:r>
              <w:rPr>
                <w:b/>
              </w:rPr>
              <w:t xml:space="preserve"> TB  - </w:t>
            </w:r>
            <w:r>
              <w:rPr>
                <w:b/>
              </w:rPr>
              <w:t>1 szt</w:t>
            </w:r>
            <w:r>
              <w:rPr>
                <w:b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Kamera zewnętrzna  z promiennikiem podczerwieni </w:t>
            </w:r>
            <w:r>
              <w:rPr>
                <w:b/>
              </w:rPr>
              <w:t>min 30 m</w:t>
            </w:r>
            <w:r>
              <w:rPr>
                <w:b/>
              </w:rPr>
              <w:t xml:space="preserve"> stały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ogniskowy obiektyw </w:t>
            </w:r>
            <w:r>
              <w:rPr>
                <w:b/>
              </w:rPr>
              <w:t>2</w:t>
            </w:r>
            <w:r>
              <w:rPr>
                <w:b/>
              </w:rPr>
              <w:t>,</w:t>
            </w:r>
            <w:r>
              <w:rPr>
                <w:b/>
              </w:rPr>
              <w:t>8</w:t>
            </w:r>
            <w:r>
              <w:rPr>
                <w:b/>
              </w:rPr>
              <w:t xml:space="preserve"> mm  </w:t>
            </w:r>
            <w:r>
              <w:rPr>
                <w:b/>
              </w:rPr>
              <w:t>o rozdzielczo</w:t>
            </w:r>
            <w:r>
              <w:rPr>
                <w:b/>
              </w:rPr>
              <w:t>ś</w:t>
            </w:r>
            <w:r>
              <w:rPr>
                <w:b/>
              </w:rPr>
              <w:t xml:space="preserve">ci </w:t>
            </w:r>
            <w:r>
              <w:rPr>
                <w:b/>
              </w:rPr>
              <w:t>2</w:t>
            </w:r>
            <w:r>
              <w:rPr>
                <w:b/>
              </w:rPr>
              <w:t xml:space="preserve"> Mpix-</w:t>
            </w:r>
            <w:r>
              <w:rPr>
                <w:b/>
              </w:rPr>
              <w:t xml:space="preserve">1080p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–  10szt.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>Zasilacz 16 wyj</w:t>
            </w:r>
            <w:r>
              <w:rPr>
                <w:b/>
              </w:rPr>
              <w:t>ś</w:t>
            </w:r>
            <w:r>
              <w:rPr>
                <w:b/>
              </w:rPr>
              <w:t xml:space="preserve">ciowy 12V – </w:t>
            </w:r>
            <w:r>
              <w:rPr>
                <w:b/>
              </w:rPr>
              <w:t>1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>M</w:t>
            </w:r>
            <w:r>
              <w:rPr>
                <w:b/>
              </w:rPr>
              <w:t>onitor  nim. 21 ‘’ o rozdzielczo</w:t>
            </w:r>
            <w:r>
              <w:rPr>
                <w:b/>
              </w:rPr>
              <w:t>ś</w:t>
            </w:r>
            <w:r>
              <w:rPr>
                <w:b/>
              </w:rPr>
              <w:t>ci FULL HD-1080p – 1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>Okablowanie,</w:t>
            </w:r>
            <w:r>
              <w:rPr>
                <w:b/>
              </w:rPr>
              <w:t xml:space="preserve"> złacza </w:t>
            </w:r>
            <w:r>
              <w:rPr>
                <w:b/>
              </w:rPr>
              <w:t xml:space="preserve">+ montaż .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>Szafka RACK R19 – 9U/</w:t>
            </w:r>
            <w:r>
              <w:rPr>
                <w:b/>
              </w:rPr>
              <w:t>450 + dwie pó</w:t>
            </w:r>
            <w:r>
              <w:rPr>
                <w:b/>
              </w:rPr>
              <w:t>ł</w:t>
            </w:r>
            <w:r>
              <w:rPr>
                <w:b/>
              </w:rPr>
              <w:t xml:space="preserve">ki </w:t>
            </w:r>
            <w:r>
              <w:rPr>
                <w:b/>
              </w:rPr>
              <w:t xml:space="preserve">o </w:t>
            </w:r>
            <w:r>
              <w:rPr>
                <w:b/>
              </w:rPr>
              <w:t>gł</w:t>
            </w:r>
            <w:r>
              <w:rPr>
                <w:b/>
              </w:rPr>
              <w:t>ę</w:t>
            </w:r>
            <w:r>
              <w:rPr>
                <w:b/>
              </w:rPr>
              <w:t>boko</w:t>
            </w:r>
            <w:r>
              <w:rPr>
                <w:b/>
              </w:rPr>
              <w:t>ś</w:t>
            </w:r>
            <w:r>
              <w:rPr>
                <w:b/>
              </w:rPr>
              <w:t>c</w:t>
            </w:r>
            <w:r>
              <w:rPr>
                <w:b/>
              </w:rPr>
              <w:t>i</w:t>
            </w:r>
            <w:r>
              <w:rPr>
                <w:b/>
              </w:rPr>
              <w:t xml:space="preserve"> min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300 mm + listwa zasil</w:t>
            </w:r>
            <w:r>
              <w:rPr>
                <w:b/>
              </w:rPr>
              <w:t>ają</w:t>
            </w:r>
            <w:r>
              <w:rPr>
                <w:b/>
              </w:rPr>
              <w:t xml:space="preserve">ca,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RACK</w:t>
            </w:r>
            <w:r>
              <w:rPr>
                <w:b/>
              </w:rPr>
              <w:t xml:space="preserve"> min. 6 gniazd </w:t>
            </w:r>
            <w:r>
              <w:rPr>
                <w:b/>
              </w:rPr>
              <w:t xml:space="preserve">– </w:t>
            </w:r>
            <w:r>
              <w:rPr>
                <w:b/>
              </w:rPr>
              <w:t>1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0" w:after="0"/>
        <w:contextualSpacing/>
        <w:jc w:val="center"/>
        <w:rPr/>
      </w:pPr>
      <w:r>
        <w:rPr/>
      </w:r>
    </w:p>
    <w:p>
      <w:pPr>
        <w:pStyle w:val="Normal"/>
        <w:spacing w:before="0" w:after="0"/>
        <w:contextualSpacing/>
        <w:jc w:val="center"/>
        <w:rPr/>
      </w:pPr>
      <w:r>
        <w:rPr/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b/>
        </w:rPr>
        <w:t xml:space="preserve">Część </w:t>
      </w:r>
      <w:r>
        <w:rPr>
          <w:b/>
        </w:rPr>
        <w:t>3</w:t>
      </w:r>
      <w:r>
        <w:rPr>
          <w:b/>
        </w:rPr>
        <w:t xml:space="preserve"> – </w:t>
      </w:r>
      <w:r>
        <w:rPr>
          <w:b/>
        </w:rPr>
        <w:t xml:space="preserve">Wewnętrzna sieć telefoniczna </w:t>
      </w:r>
      <w:r>
        <w:rPr>
          <w:b/>
        </w:rPr>
        <w:t>:</w:t>
      </w:r>
    </w:p>
    <w:p>
      <w:pPr>
        <w:pStyle w:val="Normal"/>
        <w:spacing w:before="0" w:after="0"/>
        <w:contextualSpacing/>
        <w:jc w:val="center"/>
        <w:rPr>
          <w:b/>
          <w:b/>
          <w:color w:val="980000"/>
        </w:rPr>
      </w:pPr>
      <w:r>
        <w:rPr/>
      </w:r>
    </w:p>
    <w:p>
      <w:pPr>
        <w:pStyle w:val="Normal"/>
        <w:spacing w:before="0" w:after="0"/>
        <w:contextualSpacing/>
        <w:jc w:val="center"/>
        <w:rPr>
          <w:b/>
          <w:b/>
          <w:color w:val="980000"/>
        </w:rPr>
      </w:pPr>
      <w:r>
        <w:rPr/>
      </w:r>
    </w:p>
    <w:p>
      <w:pPr>
        <w:pStyle w:val="Normal"/>
        <w:spacing w:before="0" w:after="0"/>
        <w:contextualSpacing/>
        <w:rPr>
          <w:b/>
          <w:b/>
        </w:rPr>
      </w:pPr>
      <w:r>
        <w:rPr>
          <w:b/>
        </w:rPr>
      </w:r>
    </w:p>
    <w:tbl>
      <w:tblPr>
        <w:tblStyle w:val="Table7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6" w:space="0" w:color="000001"/>
          <w:right w:val="single" w:sz="8" w:space="0" w:color="000001"/>
          <w:insideH w:val="single" w:sz="6" w:space="0" w:color="000001"/>
          <w:insideV w:val="single" w:sz="8" w:space="0" w:color="000001"/>
        </w:tblBorders>
        <w:tblCellMar>
          <w:top w:w="100" w:type="dxa"/>
          <w:left w:w="80" w:type="dxa"/>
          <w:bottom w:w="100" w:type="dxa"/>
          <w:right w:w="100" w:type="dxa"/>
        </w:tblCellMar>
        <w:tblLook w:val="0600"/>
      </w:tblPr>
      <w:tblGrid>
        <w:gridCol w:w="4364"/>
        <w:gridCol w:w="9585"/>
      </w:tblGrid>
      <w:tr>
        <w:trPr/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  <w:insideH w:val="single" w:sz="6" w:space="0" w:color="000001"/>
              <w:insideV w:val="single" w:sz="8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 xml:space="preserve">Nazwa parametru: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  <w:insideH w:val="single" w:sz="6" w:space="0" w:color="000001"/>
              <w:insideV w:val="single" w:sz="8" w:space="0" w:color="000001"/>
            </w:tcBorders>
            <w:shd w:fill="auto" w:val="clear"/>
            <w:tcMar>
              <w:left w:w="8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/>
            </w:pPr>
            <w:r>
              <w:rPr>
                <w:b/>
              </w:rPr>
              <w:t>Opis minimalnych parametrów:</w:t>
            </w:r>
          </w:p>
        </w:tc>
      </w:tr>
      <w:tr>
        <w:trPr/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b/>
                <w:b/>
              </w:rPr>
            </w:pPr>
            <w:r>
              <w:rPr>
                <w:b/>
              </w:rPr>
              <w:t xml:space="preserve">Wewnętrzna sieć telefoniczna  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b/>
                <w:b/>
              </w:rPr>
            </w:pPr>
            <w:r>
              <w:rPr>
                <w:b/>
              </w:rPr>
              <w:t xml:space="preserve">wraz z montażem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b/>
                <w:b/>
              </w:rPr>
            </w:pPr>
            <w:r>
              <w:rPr>
                <w:b/>
              </w:rPr>
              <w:t>Gwarancja  2 lata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top w:w="40" w:type="dxa"/>
              <w:left w:w="24" w:type="dxa"/>
              <w:bottom w:w="40" w:type="dxa"/>
              <w:right w:w="4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>C</w:t>
            </w:r>
            <w:r>
              <w:rPr>
                <w:b/>
              </w:rPr>
              <w:t>entrala</w:t>
            </w:r>
            <w:r>
              <w:rPr>
                <w:b/>
              </w:rPr>
              <w:t xml:space="preserve"> telefoniczna min. 2 analogowe linie miejskie 8 linii wewnetrznych,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b/>
              </w:rPr>
              <w:t>1 zapowied</w:t>
            </w:r>
            <w:r>
              <w:rPr>
                <w:b/>
              </w:rPr>
              <w:t>ź</w:t>
            </w:r>
            <w:r>
              <w:rPr>
                <w:b/>
              </w:rPr>
              <w:t xml:space="preserve"> słowna, </w:t>
            </w:r>
            <w:r>
              <w:rPr>
                <w:b/>
              </w:rPr>
              <w:t>przystosowana</w:t>
            </w:r>
            <w:r>
              <w:rPr>
                <w:b/>
              </w:rPr>
              <w:t xml:space="preserve">  </w:t>
            </w:r>
            <w:r>
              <w:rPr>
                <w:b/>
              </w:rPr>
              <w:t>do instalacji w szafie rack 19’’</w:t>
            </w:r>
            <w:r>
              <w:rPr>
                <w:b/>
              </w:rPr>
              <w:t>- 1 kpl.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>Aparat telefoniczny  bezprzewodowy z dwoma słuchawkami  - 6 kpl.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>Zasilacz rezerwowy – UPS min 480 W – 1 szt.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b/>
                <w:b/>
              </w:rPr>
            </w:pPr>
            <w:r>
              <w:rPr>
                <w:b/>
              </w:rPr>
              <w:t xml:space="preserve">Okablowanie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+ montaż . </w:t>
            </w:r>
          </w:p>
        </w:tc>
      </w:tr>
    </w:tbl>
    <w:p>
      <w:pPr>
        <w:pStyle w:val="Normal"/>
        <w:spacing w:before="0" w:after="0"/>
        <w:contextualSpacing/>
        <w:jc w:val="center"/>
        <w:rPr/>
      </w:pPr>
      <w:r>
        <w:rPr/>
      </w:r>
    </w:p>
    <w:sectPr>
      <w:headerReference w:type="default" r:id="rId2"/>
      <w:type w:val="nextPage"/>
      <w:pgSz w:w="16838" w:h="11906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0"/>
      <w:contextualSpacing/>
      <w:jc w:val="right"/>
      <w:rPr/>
    </w:pPr>
    <w:r>
      <w:rPr/>
    </w:r>
  </w:p>
  <w:p>
    <w:pPr>
      <w:pStyle w:val="Normal"/>
      <w:spacing w:before="0" w:after="0"/>
      <w:contextualSpacing/>
      <w:jc w:val="right"/>
      <w:rPr/>
    </w:pPr>
    <w:r>
      <w:rPr/>
    </w:r>
  </w:p>
  <w:p>
    <w:pPr>
      <w:pStyle w:val="Normal"/>
      <w:spacing w:before="0" w:after="0"/>
      <w:contextualSpacing/>
      <w:jc w:val="right"/>
      <w:rPr/>
    </w:pPr>
    <w:r>
      <w:rPr/>
      <w:t xml:space="preserve">Załącznik nr </w:t>
    </w:r>
    <w:r>
      <w:rPr/>
      <w:t>1</w:t>
    </w:r>
    <w:r>
      <w:rPr/>
      <w:t xml:space="preserve"> do  </w:t>
    </w:r>
    <w:r>
      <w:rPr/>
      <w:t xml:space="preserve">zapytania ofertowego </w:t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spacing w:lineRule="auto" w:line="276" w:before="0" w:after="0"/>
      <w:contextualSpacing/>
      <w:jc w:val="left"/>
    </w:pPr>
    <w:rPr>
      <w:rFonts w:ascii="Arial" w:hAnsi="Arial" w:eastAsia="Arial" w:cs="Arial"/>
      <w:color w:val="00000A"/>
      <w:kern w:val="0"/>
      <w:sz w:val="22"/>
      <w:szCs w:val="22"/>
      <w:lang w:val="pl" w:eastAsia="zh-CN" w:bidi="hi-IN"/>
    </w:rPr>
  </w:style>
  <w:style w:type="paragraph" w:styleId="Nagwek1">
    <w:name w:val="Heading 1"/>
    <w:next w:val="Normal"/>
    <w:qFormat/>
    <w:pPr>
      <w:keepNext w:val="true"/>
      <w:keepLines/>
      <w:widowControl w:val="false"/>
      <w:spacing w:lineRule="auto" w:line="240" w:before="400" w:after="120"/>
    </w:pPr>
    <w:rPr>
      <w:rFonts w:ascii="Arial" w:hAnsi="Arial" w:eastAsia="Arial" w:cs="Arial"/>
      <w:color w:val="auto"/>
      <w:kern w:val="0"/>
      <w:sz w:val="40"/>
      <w:szCs w:val="40"/>
      <w:lang w:val="pl" w:eastAsia="zh-CN" w:bidi="hi-IN"/>
    </w:rPr>
  </w:style>
  <w:style w:type="paragraph" w:styleId="Nagwek2">
    <w:name w:val="Heading 2"/>
    <w:next w:val="Normal"/>
    <w:qFormat/>
    <w:pPr>
      <w:keepNext w:val="true"/>
      <w:keepLines/>
      <w:widowControl w:val="false"/>
      <w:spacing w:lineRule="auto" w:line="240" w:before="360" w:after="120"/>
    </w:pPr>
    <w:rPr>
      <w:rFonts w:ascii="Arial" w:hAnsi="Arial" w:eastAsia="Arial" w:cs="Arial"/>
      <w:b w:val="false"/>
      <w:color w:val="auto"/>
      <w:kern w:val="0"/>
      <w:sz w:val="32"/>
      <w:szCs w:val="32"/>
      <w:lang w:val="pl" w:eastAsia="zh-CN" w:bidi="hi-IN"/>
    </w:rPr>
  </w:style>
  <w:style w:type="paragraph" w:styleId="Nagwek3">
    <w:name w:val="Heading 3"/>
    <w:next w:val="Normal"/>
    <w:qFormat/>
    <w:pPr>
      <w:keepNext w:val="true"/>
      <w:keepLines/>
      <w:widowControl w:val="false"/>
      <w:spacing w:lineRule="auto" w:line="240" w:before="320" w:after="80"/>
    </w:pPr>
    <w:rPr>
      <w:rFonts w:ascii="Arial" w:hAnsi="Arial" w:eastAsia="Arial" w:cs="Arial"/>
      <w:b w:val="false"/>
      <w:color w:val="434343"/>
      <w:kern w:val="0"/>
      <w:sz w:val="28"/>
      <w:szCs w:val="28"/>
      <w:lang w:val="pl" w:eastAsia="zh-CN" w:bidi="hi-IN"/>
    </w:rPr>
  </w:style>
  <w:style w:type="paragraph" w:styleId="Nagwek4">
    <w:name w:val="Heading 4"/>
    <w:next w:val="Normal"/>
    <w:qFormat/>
    <w:pPr>
      <w:keepNext w:val="true"/>
      <w:keepLines/>
      <w:widowControl w:val="false"/>
      <w:spacing w:lineRule="auto" w:line="240" w:before="280" w:after="80"/>
    </w:pPr>
    <w:rPr>
      <w:rFonts w:ascii="Arial" w:hAnsi="Arial" w:eastAsia="Arial" w:cs="Arial"/>
      <w:color w:val="666666"/>
      <w:kern w:val="0"/>
      <w:sz w:val="24"/>
      <w:szCs w:val="24"/>
      <w:lang w:val="pl" w:eastAsia="zh-CN" w:bidi="hi-IN"/>
    </w:rPr>
  </w:style>
  <w:style w:type="paragraph" w:styleId="Nagwek5">
    <w:name w:val="Heading 5"/>
    <w:next w:val="Normal"/>
    <w:qFormat/>
    <w:pPr>
      <w:keepNext w:val="true"/>
      <w:keepLines/>
      <w:widowControl w:val="false"/>
      <w:spacing w:lineRule="auto" w:line="240" w:before="240" w:after="80"/>
    </w:pPr>
    <w:rPr>
      <w:rFonts w:ascii="Arial" w:hAnsi="Arial" w:eastAsia="Arial" w:cs="Arial"/>
      <w:color w:val="666666"/>
      <w:kern w:val="0"/>
      <w:sz w:val="22"/>
      <w:szCs w:val="22"/>
      <w:lang w:val="pl" w:eastAsia="zh-CN" w:bidi="hi-IN"/>
    </w:rPr>
  </w:style>
  <w:style w:type="paragraph" w:styleId="Nagwek6">
    <w:name w:val="Heading 6"/>
    <w:next w:val="Normal"/>
    <w:qFormat/>
    <w:pPr>
      <w:keepNext w:val="true"/>
      <w:keepLines/>
      <w:widowControl w:val="false"/>
      <w:spacing w:lineRule="auto" w:line="240" w:before="240" w:after="80"/>
    </w:pPr>
    <w:rPr>
      <w:rFonts w:ascii="Arial" w:hAnsi="Arial" w:eastAsia="Arial" w:cs="Arial"/>
      <w:i/>
      <w:color w:val="666666"/>
      <w:kern w:val="0"/>
      <w:sz w:val="22"/>
      <w:szCs w:val="22"/>
      <w:lang w:val="pl" w:eastAsia="zh-CN" w:bidi="hi-IN"/>
    </w:rPr>
  </w:style>
  <w:style w:type="character" w:styleId="ListLabel1">
    <w:name w:val="ListLabel 1"/>
    <w:qFormat/>
    <w:rPr>
      <w:b/>
      <w:u w:val="none"/>
    </w:rPr>
  </w:style>
  <w:style w:type="character" w:styleId="ListLabel2">
    <w:name w:val="ListLabel 2"/>
    <w:qFormat/>
    <w:rPr>
      <w:u w:val="none"/>
    </w:rPr>
  </w:style>
  <w:style w:type="character" w:styleId="ListLabel3">
    <w:name w:val="ListLabel 3"/>
    <w:qFormat/>
    <w:rPr>
      <w:u w:val="none"/>
    </w:rPr>
  </w:style>
  <w:style w:type="character" w:styleId="ListLabel4">
    <w:name w:val="ListLabel 4"/>
    <w:qFormat/>
    <w:rPr>
      <w:u w:val="none"/>
    </w:rPr>
  </w:style>
  <w:style w:type="character" w:styleId="ListLabel5">
    <w:name w:val="ListLabel 5"/>
    <w:qFormat/>
    <w:rPr>
      <w:u w:val="none"/>
    </w:rPr>
  </w:style>
  <w:style w:type="character" w:styleId="ListLabel6">
    <w:name w:val="ListLabel 6"/>
    <w:qFormat/>
    <w:rPr>
      <w:u w:val="none"/>
    </w:rPr>
  </w:style>
  <w:style w:type="character" w:styleId="ListLabel7">
    <w:name w:val="ListLabel 7"/>
    <w:qFormat/>
    <w:rPr>
      <w:u w:val="none"/>
    </w:rPr>
  </w:style>
  <w:style w:type="character" w:styleId="ListLabel8">
    <w:name w:val="ListLabel 8"/>
    <w:qFormat/>
    <w:rPr>
      <w:u w:val="none"/>
    </w:rPr>
  </w:style>
  <w:style w:type="character" w:styleId="ListLabel9">
    <w:name w:val="ListLabel 9"/>
    <w:qFormat/>
    <w:rPr>
      <w:u w:val="none"/>
    </w:rPr>
  </w:style>
  <w:style w:type="character" w:styleId="ListLabel10">
    <w:name w:val="ListLabel 10"/>
    <w:qFormat/>
    <w:rPr>
      <w:rFonts w:cs="OpenSymbol"/>
      <w:b/>
      <w:u w:val="none"/>
    </w:rPr>
  </w:style>
  <w:style w:type="character" w:styleId="ListLabel11">
    <w:name w:val="ListLabel 11"/>
    <w:qFormat/>
    <w:rPr>
      <w:rFonts w:cs="OpenSymbol"/>
      <w:u w:val="none"/>
    </w:rPr>
  </w:style>
  <w:style w:type="character" w:styleId="ListLabel12">
    <w:name w:val="ListLabel 12"/>
    <w:qFormat/>
    <w:rPr>
      <w:rFonts w:cs="OpenSymbol"/>
      <w:u w:val="none"/>
    </w:rPr>
  </w:style>
  <w:style w:type="character" w:styleId="ListLabel13">
    <w:name w:val="ListLabel 13"/>
    <w:qFormat/>
    <w:rPr>
      <w:rFonts w:cs="OpenSymbol"/>
      <w:u w:val="none"/>
    </w:rPr>
  </w:style>
  <w:style w:type="character" w:styleId="ListLabel14">
    <w:name w:val="ListLabel 14"/>
    <w:qFormat/>
    <w:rPr>
      <w:rFonts w:cs="OpenSymbol"/>
      <w:u w:val="none"/>
    </w:rPr>
  </w:style>
  <w:style w:type="character" w:styleId="ListLabel15">
    <w:name w:val="ListLabel 15"/>
    <w:qFormat/>
    <w:rPr>
      <w:rFonts w:cs="OpenSymbol"/>
      <w:u w:val="none"/>
    </w:rPr>
  </w:style>
  <w:style w:type="character" w:styleId="ListLabel16">
    <w:name w:val="ListLabel 16"/>
    <w:qFormat/>
    <w:rPr>
      <w:rFonts w:cs="OpenSymbol"/>
      <w:u w:val="none"/>
    </w:rPr>
  </w:style>
  <w:style w:type="character" w:styleId="ListLabel17">
    <w:name w:val="ListLabel 17"/>
    <w:qFormat/>
    <w:rPr>
      <w:rFonts w:cs="OpenSymbol"/>
      <w:u w:val="none"/>
    </w:rPr>
  </w:style>
  <w:style w:type="character" w:styleId="ListLabel18">
    <w:name w:val="ListLabel 18"/>
    <w:qFormat/>
    <w:rPr>
      <w:rFonts w:cs="OpenSymbol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  <w:contextualSpacing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  <w:contextualSpacing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  <w:contextualSpacing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Arial" w:hAnsi="Arial" w:eastAsia="Arial" w:cs="Arial"/>
      <w:color w:val="00000A"/>
      <w:kern w:val="0"/>
      <w:sz w:val="22"/>
      <w:szCs w:val="22"/>
      <w:lang w:val="pl" w:eastAsia="zh-CN" w:bidi="hi-IN"/>
    </w:rPr>
  </w:style>
  <w:style w:type="paragraph" w:styleId="Tytu">
    <w:name w:val="Title"/>
    <w:basedOn w:val="LOnormal"/>
    <w:next w:val="Normal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Podtytu">
    <w:name w:val="Subtitle"/>
    <w:basedOn w:val="LOnormal"/>
    <w:next w:val="Normal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Gwka">
    <w:name w:val="Header"/>
    <w:basedOn w:val="Normal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Application>LibreOffice/5.4.2.2$Windows_X86_64 LibreOffice_project/22b09f6418e8c2d508a9eaf86b2399209b0990f4</Application>
  <Pages>3</Pages>
  <Words>235</Words>
  <Characters>1221</Characters>
  <CharactersWithSpaces>1472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2018-09-10T14:19:54Z</dcterms:modified>
  <cp:revision>2</cp:revision>
  <dc:subject/>
  <dc:title/>
</cp:coreProperties>
</file>